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F71" w14:textId="77777777" w:rsidR="000D6BA9" w:rsidRDefault="000D6BA9" w:rsidP="000D6BA9">
      <w:pPr>
        <w:pStyle w:val="DBRetraitcorpsdetexte"/>
        <w:suppressAutoHyphens/>
        <w:spacing w:before="360" w:after="360"/>
        <w:ind w:firstLine="0"/>
        <w:jc w:val="center"/>
        <w:outlineLvl w:val="0"/>
        <w:rPr>
          <w:b/>
          <w:sz w:val="24"/>
        </w:rPr>
      </w:pPr>
    </w:p>
    <w:p w14:paraId="234AEA21" w14:textId="77777777" w:rsidR="000D6BA9" w:rsidRDefault="000D6BA9" w:rsidP="0097215A">
      <w:pPr>
        <w:pStyle w:val="DBRetraitcorpsdetexte"/>
        <w:pBdr>
          <w:top w:val="double" w:sz="4" w:space="1" w:color="auto"/>
          <w:left w:val="double" w:sz="4" w:space="1" w:color="auto"/>
          <w:bottom w:val="double" w:sz="4" w:space="1" w:color="auto"/>
          <w:right w:val="double" w:sz="4" w:space="1" w:color="auto"/>
        </w:pBdr>
        <w:suppressAutoHyphens/>
        <w:ind w:left="3119" w:right="3119" w:firstLine="0"/>
        <w:jc w:val="center"/>
        <w:outlineLvl w:val="0"/>
        <w:rPr>
          <w:sz w:val="24"/>
        </w:rPr>
      </w:pPr>
      <w:r>
        <w:rPr>
          <w:b/>
          <w:sz w:val="24"/>
        </w:rPr>
        <w:t xml:space="preserve">ANNEXE </w:t>
      </w:r>
      <w:r w:rsidR="0097215A">
        <w:rPr>
          <w:b/>
          <w:sz w:val="24"/>
        </w:rPr>
        <w:t>V</w:t>
      </w:r>
    </w:p>
    <w:p w14:paraId="0C04B302" w14:textId="77777777" w:rsidR="00545B1F" w:rsidRDefault="00545B1F" w:rsidP="00453192">
      <w:pPr>
        <w:pStyle w:val="DBCorpsdetexte"/>
        <w:jc w:val="center"/>
        <w:rPr>
          <w:b/>
          <w:caps/>
          <w:sz w:val="24"/>
        </w:rPr>
      </w:pPr>
    </w:p>
    <w:p w14:paraId="2B53FDFD" w14:textId="77777777" w:rsidR="00545B1F" w:rsidRDefault="000D6BA9" w:rsidP="000D6BA9">
      <w:pPr>
        <w:pStyle w:val="DBCorpsdetexte"/>
        <w:jc w:val="center"/>
        <w:rPr>
          <w:b/>
          <w:caps/>
          <w:sz w:val="24"/>
        </w:rPr>
      </w:pPr>
      <w:r>
        <w:rPr>
          <w:b/>
          <w:caps/>
          <w:sz w:val="24"/>
        </w:rPr>
        <w:t>BUDGÉTISATION</w:t>
      </w:r>
      <w:r w:rsidR="00715A93">
        <w:rPr>
          <w:b/>
          <w:caps/>
          <w:sz w:val="24"/>
        </w:rPr>
        <w:t xml:space="preserve"> en A</w:t>
      </w:r>
      <w:r w:rsidR="00D21471">
        <w:rPr>
          <w:b/>
          <w:caps/>
          <w:sz w:val="24"/>
        </w:rPr>
        <w:t>utorisations d’</w:t>
      </w:r>
      <w:r w:rsidR="00715A93">
        <w:rPr>
          <w:b/>
          <w:caps/>
          <w:sz w:val="24"/>
        </w:rPr>
        <w:t>E</w:t>
      </w:r>
      <w:r w:rsidR="00D21471">
        <w:rPr>
          <w:b/>
          <w:caps/>
          <w:sz w:val="24"/>
        </w:rPr>
        <w:t>ngagement</w:t>
      </w:r>
      <w:r w:rsidR="00F74EE5">
        <w:rPr>
          <w:b/>
          <w:caps/>
          <w:sz w:val="24"/>
        </w:rPr>
        <w:t xml:space="preserve"> (AE)</w:t>
      </w:r>
    </w:p>
    <w:p w14:paraId="50439778" w14:textId="77777777" w:rsidR="00D21471" w:rsidRDefault="00545B1F" w:rsidP="00AE3341">
      <w:pPr>
        <w:pStyle w:val="DBCorpsdetexte"/>
        <w:jc w:val="center"/>
        <w:rPr>
          <w:b/>
          <w:caps/>
          <w:sz w:val="24"/>
        </w:rPr>
      </w:pPr>
      <w:r>
        <w:rPr>
          <w:b/>
          <w:caps/>
          <w:sz w:val="24"/>
        </w:rPr>
        <w:t xml:space="preserve">et </w:t>
      </w:r>
      <w:r w:rsidR="00AE3341">
        <w:rPr>
          <w:b/>
          <w:caps/>
          <w:sz w:val="24"/>
        </w:rPr>
        <w:t xml:space="preserve">en </w:t>
      </w:r>
      <w:r w:rsidR="00715A93">
        <w:rPr>
          <w:b/>
          <w:caps/>
          <w:sz w:val="24"/>
        </w:rPr>
        <w:t>C</w:t>
      </w:r>
      <w:r w:rsidR="00D21471">
        <w:rPr>
          <w:b/>
          <w:caps/>
          <w:sz w:val="24"/>
        </w:rPr>
        <w:t xml:space="preserve">redits de </w:t>
      </w:r>
      <w:r w:rsidR="00715A93">
        <w:rPr>
          <w:b/>
          <w:caps/>
          <w:sz w:val="24"/>
        </w:rPr>
        <w:t>P</w:t>
      </w:r>
      <w:r w:rsidR="00D21471">
        <w:rPr>
          <w:b/>
          <w:caps/>
          <w:sz w:val="24"/>
        </w:rPr>
        <w:t>aiement</w:t>
      </w:r>
      <w:r w:rsidR="00F74EE5">
        <w:rPr>
          <w:b/>
          <w:caps/>
          <w:sz w:val="24"/>
        </w:rPr>
        <w:t xml:space="preserve"> (CP)</w:t>
      </w:r>
    </w:p>
    <w:p w14:paraId="4C16B826" w14:textId="77777777" w:rsidR="000D6BA9" w:rsidRDefault="000D6BA9" w:rsidP="000D6BA9">
      <w:pPr>
        <w:pStyle w:val="DBCorpsdetexte"/>
        <w:jc w:val="center"/>
        <w:rPr>
          <w:b/>
          <w:caps/>
          <w:sz w:val="24"/>
        </w:rPr>
      </w:pPr>
    </w:p>
    <w:p w14:paraId="1EA376AE" w14:textId="222FEA94" w:rsidR="00FF405C" w:rsidRDefault="00C72B56" w:rsidP="00092308">
      <w:pPr>
        <w:pStyle w:val="DBRetraitcorpsdetexte"/>
        <w:suppressAutoHyphens/>
        <w:rPr>
          <w:sz w:val="24"/>
        </w:rPr>
      </w:pPr>
      <w:r w:rsidRPr="001706DB">
        <w:rPr>
          <w:sz w:val="24"/>
        </w:rPr>
        <w:t>L</w:t>
      </w:r>
      <w:r w:rsidR="00092308">
        <w:rPr>
          <w:sz w:val="24"/>
        </w:rPr>
        <w:t xml:space="preserve">a LOLF prévoit </w:t>
      </w:r>
      <w:r w:rsidR="00FF405C" w:rsidRPr="001706DB">
        <w:rPr>
          <w:sz w:val="24"/>
        </w:rPr>
        <w:t>une budgétisation en AE (les engagements financiers que le responsable de programme est autorisé à souscrire) et en CP (les paiements qu’il est autorisé à effectuer).</w:t>
      </w:r>
      <w:r w:rsidR="00FF405C">
        <w:rPr>
          <w:sz w:val="24"/>
        </w:rPr>
        <w:t xml:space="preserve"> </w:t>
      </w:r>
      <w:r w:rsidR="00C34B0F" w:rsidRPr="00C34B0F">
        <w:rPr>
          <w:sz w:val="24"/>
        </w:rPr>
        <w:t xml:space="preserve">La qualité de la comptabilité budgétaire suppose que les AE soient consommées pour la durée ferme de l’engagement qui peut le cas échéant être pluriannuelle.  </w:t>
      </w:r>
    </w:p>
    <w:p w14:paraId="000CA1C5" w14:textId="77777777" w:rsidR="00BF1D61" w:rsidRPr="004440AD" w:rsidRDefault="00BF1D61" w:rsidP="00BF1D61">
      <w:pPr>
        <w:pStyle w:val="DBRetraitcorpsdetexte"/>
        <w:suppressAutoHyphens/>
        <w:rPr>
          <w:sz w:val="24"/>
        </w:rPr>
      </w:pPr>
      <w:r>
        <w:rPr>
          <w:sz w:val="24"/>
        </w:rPr>
        <w:t>En outre, la LPFP 2018-2022 dispose que « </w:t>
      </w:r>
      <w:r w:rsidRPr="002F4BA0">
        <w:rPr>
          <w:i/>
          <w:sz w:val="24"/>
        </w:rPr>
        <w:t>le montant de restes à payer, tel que retracé annuellement dans le compte général de l’État annexé au projet de loi de règlement, hors impact des changements de règles de comptabilisation des engagements, ne peut excéder, pour chacune des années 2018 à 2022, le niveau atteint à fin 2017</w:t>
      </w:r>
      <w:r>
        <w:rPr>
          <w:sz w:val="24"/>
        </w:rPr>
        <w:t> ».</w:t>
      </w:r>
    </w:p>
    <w:p w14:paraId="7FA6AAA6" w14:textId="77777777" w:rsidR="00FF405C" w:rsidRPr="001706DB" w:rsidRDefault="00FF405C" w:rsidP="00FF405C">
      <w:pPr>
        <w:pStyle w:val="DBRetraitcorpsdetexte"/>
        <w:suppressAutoHyphens/>
        <w:rPr>
          <w:sz w:val="24"/>
        </w:rPr>
      </w:pPr>
      <w:r>
        <w:rPr>
          <w:sz w:val="24"/>
        </w:rPr>
        <w:t>Afin de s’</w:t>
      </w:r>
      <w:r w:rsidRPr="001706DB">
        <w:rPr>
          <w:sz w:val="24"/>
        </w:rPr>
        <w:t xml:space="preserve">assurer </w:t>
      </w:r>
      <w:r>
        <w:rPr>
          <w:sz w:val="24"/>
        </w:rPr>
        <w:t xml:space="preserve">de </w:t>
      </w:r>
      <w:r w:rsidRPr="001706DB">
        <w:rPr>
          <w:sz w:val="24"/>
        </w:rPr>
        <w:t>la couverture des engagements pris antérieurement à l’exercice concerné</w:t>
      </w:r>
      <w:r w:rsidR="00BF1D61">
        <w:rPr>
          <w:sz w:val="24"/>
        </w:rPr>
        <w:t xml:space="preserve"> et du respect de l’article </w:t>
      </w:r>
      <w:r w:rsidR="002C72AD">
        <w:rPr>
          <w:sz w:val="24"/>
        </w:rPr>
        <w:t xml:space="preserve">17 </w:t>
      </w:r>
      <w:r w:rsidR="00BF1D61">
        <w:rPr>
          <w:sz w:val="24"/>
        </w:rPr>
        <w:t xml:space="preserve">de la LPFP mentionné </w:t>
      </w:r>
      <w:r w:rsidR="00BF1D61" w:rsidRPr="00BF1D61">
        <w:rPr>
          <w:i/>
          <w:sz w:val="24"/>
        </w:rPr>
        <w:t>supra</w:t>
      </w:r>
      <w:r>
        <w:rPr>
          <w:sz w:val="24"/>
        </w:rPr>
        <w:t xml:space="preserve">, vous procéderez au </w:t>
      </w:r>
      <w:r w:rsidRPr="001706DB">
        <w:rPr>
          <w:sz w:val="24"/>
        </w:rPr>
        <w:t>recensement des restes à payer</w:t>
      </w:r>
      <w:r>
        <w:rPr>
          <w:sz w:val="24"/>
        </w:rPr>
        <w:t xml:space="preserve"> et détaillerez l</w:t>
      </w:r>
      <w:bookmarkStart w:id="0" w:name="_GoBack"/>
      <w:bookmarkEnd w:id="0"/>
      <w:r>
        <w:rPr>
          <w:sz w:val="24"/>
        </w:rPr>
        <w:t xml:space="preserve">es </w:t>
      </w:r>
      <w:r w:rsidRPr="001706DB">
        <w:rPr>
          <w:sz w:val="24"/>
        </w:rPr>
        <w:t>échéancier</w:t>
      </w:r>
      <w:r>
        <w:rPr>
          <w:sz w:val="24"/>
        </w:rPr>
        <w:t>s</w:t>
      </w:r>
      <w:r w:rsidRPr="001706DB">
        <w:rPr>
          <w:sz w:val="24"/>
        </w:rPr>
        <w:t xml:space="preserve"> des besoins de crédits de paiement à </w:t>
      </w:r>
      <w:r>
        <w:rPr>
          <w:sz w:val="24"/>
        </w:rPr>
        <w:t>court, moyen et plus long terme.</w:t>
      </w:r>
      <w:r w:rsidRPr="001706DB">
        <w:rPr>
          <w:sz w:val="24"/>
        </w:rPr>
        <w:t xml:space="preserve"> </w:t>
      </w:r>
    </w:p>
    <w:p w14:paraId="37EDA954" w14:textId="77777777" w:rsidR="00FF405C" w:rsidRPr="001706DB" w:rsidRDefault="00FF405C" w:rsidP="00FF405C">
      <w:pPr>
        <w:pStyle w:val="DBRetraitcorpsdetexte"/>
        <w:suppressAutoHyphens/>
        <w:rPr>
          <w:sz w:val="24"/>
        </w:rPr>
      </w:pPr>
      <w:r>
        <w:rPr>
          <w:sz w:val="24"/>
        </w:rPr>
        <w:t>Les échanges s’appuieront sur l</w:t>
      </w:r>
      <w:r w:rsidRPr="001706DB">
        <w:rPr>
          <w:sz w:val="24"/>
        </w:rPr>
        <w:t xml:space="preserve">es échéanciers de CP </w:t>
      </w:r>
      <w:r>
        <w:rPr>
          <w:sz w:val="24"/>
        </w:rPr>
        <w:t>joints</w:t>
      </w:r>
      <w:r w:rsidRPr="001706DB">
        <w:rPr>
          <w:sz w:val="24"/>
        </w:rPr>
        <w:t>.</w:t>
      </w:r>
    </w:p>
    <w:p w14:paraId="3385C8EB" w14:textId="77777777" w:rsidR="0094391E" w:rsidRDefault="00FF405C" w:rsidP="00F21D22">
      <w:pPr>
        <w:pStyle w:val="DBRetraitcorpsdetexte"/>
        <w:suppressAutoHyphens/>
        <w:rPr>
          <w:sz w:val="24"/>
          <w:szCs w:val="24"/>
        </w:rPr>
      </w:pPr>
      <w:r w:rsidRPr="001706DB">
        <w:rPr>
          <w:sz w:val="24"/>
        </w:rPr>
        <w:t xml:space="preserve">Un échéancier sera construit pour chaque </w:t>
      </w:r>
      <w:r>
        <w:rPr>
          <w:sz w:val="24"/>
        </w:rPr>
        <w:t>brique de dépense</w:t>
      </w:r>
      <w:r w:rsidRPr="001706DB">
        <w:rPr>
          <w:sz w:val="24"/>
        </w:rPr>
        <w:t xml:space="preserve"> ou bloc homogène de dépense, </w:t>
      </w:r>
      <w:r w:rsidR="00AE3341">
        <w:rPr>
          <w:sz w:val="24"/>
        </w:rPr>
        <w:t>relatif à des</w:t>
      </w:r>
      <w:r w:rsidRPr="001706DB">
        <w:rPr>
          <w:sz w:val="24"/>
        </w:rPr>
        <w:t xml:space="preserve"> grands projets d’investissement</w:t>
      </w:r>
      <w:r w:rsidR="00092308">
        <w:rPr>
          <w:sz w:val="24"/>
        </w:rPr>
        <w:t>,</w:t>
      </w:r>
      <w:r w:rsidRPr="001706DB">
        <w:rPr>
          <w:sz w:val="24"/>
        </w:rPr>
        <w:t xml:space="preserve"> </w:t>
      </w:r>
      <w:r w:rsidR="00AE3341">
        <w:rPr>
          <w:sz w:val="24"/>
        </w:rPr>
        <w:t>aux</w:t>
      </w:r>
      <w:r w:rsidRPr="001706DB">
        <w:rPr>
          <w:sz w:val="24"/>
        </w:rPr>
        <w:t xml:space="preserve"> principales dépenses d’interventions</w:t>
      </w:r>
      <w:r w:rsidR="00092308">
        <w:rPr>
          <w:sz w:val="24"/>
        </w:rPr>
        <w:t xml:space="preserve"> et</w:t>
      </w:r>
      <w:r w:rsidR="00AE3341">
        <w:rPr>
          <w:sz w:val="24"/>
        </w:rPr>
        <w:t xml:space="preserve"> à</w:t>
      </w:r>
      <w:r w:rsidR="00092308">
        <w:rPr>
          <w:sz w:val="24"/>
        </w:rPr>
        <w:t xml:space="preserve"> toute autre dépense significative exécutée en AE ≠ CP</w:t>
      </w:r>
      <w:r w:rsidRPr="001706DB">
        <w:rPr>
          <w:sz w:val="24"/>
        </w:rPr>
        <w:t>.</w:t>
      </w:r>
    </w:p>
    <w:p w14:paraId="0CA9967A" w14:textId="3B11938F" w:rsidR="0094391E" w:rsidRPr="002B0103" w:rsidRDefault="0094391E" w:rsidP="0097215A">
      <w:pPr>
        <w:pStyle w:val="DBRetraitcorpsdetexte"/>
        <w:suppressAutoHyphens/>
        <w:ind w:firstLine="0"/>
        <w:jc w:val="center"/>
      </w:pPr>
    </w:p>
    <w:sectPr w:rsidR="0094391E" w:rsidRPr="002B0103" w:rsidSect="007C5928">
      <w:headerReference w:type="even" r:id="rId7"/>
      <w:pgSz w:w="11907" w:h="16840" w:code="9"/>
      <w:pgMar w:top="1134" w:right="340" w:bottom="851" w:left="851" w:header="720" w:footer="17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F18E" w14:textId="77777777" w:rsidR="004C5919" w:rsidRDefault="004C5919">
      <w:r>
        <w:separator/>
      </w:r>
    </w:p>
  </w:endnote>
  <w:endnote w:type="continuationSeparator" w:id="0">
    <w:p w14:paraId="3EAC1F15" w14:textId="77777777" w:rsidR="004C5919" w:rsidRDefault="004C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1288" w14:textId="77777777" w:rsidR="004C5919" w:rsidRDefault="004C5919">
      <w:r>
        <w:separator/>
      </w:r>
    </w:p>
  </w:footnote>
  <w:footnote w:type="continuationSeparator" w:id="0">
    <w:p w14:paraId="213DE85E" w14:textId="77777777" w:rsidR="004C5919" w:rsidRDefault="004C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2B74" w14:textId="77777777" w:rsidR="006479BC" w:rsidRDefault="006479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58C6">
      <w:rPr>
        <w:rStyle w:val="Numrodepage"/>
        <w:noProof/>
      </w:rPr>
      <w:t>2</w:t>
    </w:r>
    <w:r>
      <w:rPr>
        <w:rStyle w:val="Numrodepage"/>
      </w:rPr>
      <w:fldChar w:fldCharType="end"/>
    </w:r>
  </w:p>
  <w:p w14:paraId="0FADE7F2" w14:textId="77777777" w:rsidR="006479BC" w:rsidRDefault="006479B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FB"/>
    <w:multiLevelType w:val="multilevel"/>
    <w:tmpl w:val="78F6D6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95568E"/>
    <w:multiLevelType w:val="singleLevel"/>
    <w:tmpl w:val="B6322726"/>
    <w:lvl w:ilvl="0">
      <w:start w:val="1"/>
      <w:numFmt w:val="decimal"/>
      <w:lvlText w:val="%1)"/>
      <w:lvlJc w:val="left"/>
      <w:pPr>
        <w:tabs>
          <w:tab w:val="num" w:pos="1494"/>
        </w:tabs>
        <w:ind w:left="1494" w:hanging="360"/>
      </w:pPr>
      <w:rPr>
        <w:rFonts w:hint="default"/>
      </w:rPr>
    </w:lvl>
  </w:abstractNum>
  <w:abstractNum w:abstractNumId="2" w15:restartNumberingAfterBreak="0">
    <w:nsid w:val="09F937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805A0"/>
    <w:multiLevelType w:val="multilevel"/>
    <w:tmpl w:val="0FEAED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91EB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AE40FB"/>
    <w:multiLevelType w:val="singleLevel"/>
    <w:tmpl w:val="902ECBA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17601"/>
    <w:multiLevelType w:val="singleLevel"/>
    <w:tmpl w:val="993863DE"/>
    <w:lvl w:ilvl="0">
      <w:start w:val="1"/>
      <w:numFmt w:val="decimal"/>
      <w:lvlText w:val="%1)"/>
      <w:lvlJc w:val="left"/>
      <w:pPr>
        <w:tabs>
          <w:tab w:val="num" w:pos="1494"/>
        </w:tabs>
        <w:ind w:left="1494" w:hanging="360"/>
      </w:pPr>
      <w:rPr>
        <w:rFonts w:hint="default"/>
      </w:rPr>
    </w:lvl>
  </w:abstractNum>
  <w:abstractNum w:abstractNumId="7" w15:restartNumberingAfterBreak="0">
    <w:nsid w:val="14D61A58"/>
    <w:multiLevelType w:val="hybridMultilevel"/>
    <w:tmpl w:val="FCBC427E"/>
    <w:lvl w:ilvl="0" w:tplc="CCE27834">
      <w:start w:val="7"/>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15B61F38"/>
    <w:multiLevelType w:val="multilevel"/>
    <w:tmpl w:val="FE86DF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06"/>
        </w:tabs>
        <w:ind w:left="306" w:hanging="360"/>
      </w:pPr>
      <w:rPr>
        <w:rFonts w:ascii="Courier New" w:hAnsi="Courier New" w:cs="Tahoma" w:hint="default"/>
      </w:rPr>
    </w:lvl>
    <w:lvl w:ilvl="2">
      <w:start w:val="1"/>
      <w:numFmt w:val="bullet"/>
      <w:lvlText w:val=""/>
      <w:lvlJc w:val="left"/>
      <w:pPr>
        <w:tabs>
          <w:tab w:val="num" w:pos="1026"/>
        </w:tabs>
        <w:ind w:left="1026" w:hanging="360"/>
      </w:pPr>
      <w:rPr>
        <w:rFonts w:ascii="Wingdings" w:hAnsi="Wingdings" w:hint="default"/>
      </w:rPr>
    </w:lvl>
    <w:lvl w:ilvl="3" w:tentative="1">
      <w:start w:val="1"/>
      <w:numFmt w:val="bullet"/>
      <w:lvlText w:val=""/>
      <w:lvlJc w:val="left"/>
      <w:pPr>
        <w:tabs>
          <w:tab w:val="num" w:pos="1746"/>
        </w:tabs>
        <w:ind w:left="1746" w:hanging="360"/>
      </w:pPr>
      <w:rPr>
        <w:rFonts w:ascii="Symbol" w:hAnsi="Symbol" w:hint="default"/>
      </w:rPr>
    </w:lvl>
    <w:lvl w:ilvl="4" w:tentative="1">
      <w:start w:val="1"/>
      <w:numFmt w:val="bullet"/>
      <w:lvlText w:val="o"/>
      <w:lvlJc w:val="left"/>
      <w:pPr>
        <w:tabs>
          <w:tab w:val="num" w:pos="2466"/>
        </w:tabs>
        <w:ind w:left="2466" w:hanging="360"/>
      </w:pPr>
      <w:rPr>
        <w:rFonts w:ascii="Courier New" w:hAnsi="Courier New" w:cs="Tahoma" w:hint="default"/>
      </w:rPr>
    </w:lvl>
    <w:lvl w:ilvl="5" w:tentative="1">
      <w:start w:val="1"/>
      <w:numFmt w:val="bullet"/>
      <w:lvlText w:val=""/>
      <w:lvlJc w:val="left"/>
      <w:pPr>
        <w:tabs>
          <w:tab w:val="num" w:pos="3186"/>
        </w:tabs>
        <w:ind w:left="3186" w:hanging="360"/>
      </w:pPr>
      <w:rPr>
        <w:rFonts w:ascii="Wingdings" w:hAnsi="Wingdings" w:hint="default"/>
      </w:rPr>
    </w:lvl>
    <w:lvl w:ilvl="6" w:tentative="1">
      <w:start w:val="1"/>
      <w:numFmt w:val="bullet"/>
      <w:lvlText w:val=""/>
      <w:lvlJc w:val="left"/>
      <w:pPr>
        <w:tabs>
          <w:tab w:val="num" w:pos="3906"/>
        </w:tabs>
        <w:ind w:left="3906" w:hanging="360"/>
      </w:pPr>
      <w:rPr>
        <w:rFonts w:ascii="Symbol" w:hAnsi="Symbol" w:hint="default"/>
      </w:rPr>
    </w:lvl>
    <w:lvl w:ilvl="7" w:tentative="1">
      <w:start w:val="1"/>
      <w:numFmt w:val="bullet"/>
      <w:lvlText w:val="o"/>
      <w:lvlJc w:val="left"/>
      <w:pPr>
        <w:tabs>
          <w:tab w:val="num" w:pos="4626"/>
        </w:tabs>
        <w:ind w:left="4626" w:hanging="360"/>
      </w:pPr>
      <w:rPr>
        <w:rFonts w:ascii="Courier New" w:hAnsi="Courier New" w:cs="Tahoma" w:hint="default"/>
      </w:rPr>
    </w:lvl>
    <w:lvl w:ilvl="8"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18F77CE6"/>
    <w:multiLevelType w:val="singleLevel"/>
    <w:tmpl w:val="88D4B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B07A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E613E5"/>
    <w:multiLevelType w:val="singleLevel"/>
    <w:tmpl w:val="2124E2B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7165E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115F1E"/>
    <w:multiLevelType w:val="singleLevel"/>
    <w:tmpl w:val="201E7A3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E00C2D"/>
    <w:multiLevelType w:val="hybridMultilevel"/>
    <w:tmpl w:val="A492FA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3BD220D"/>
    <w:multiLevelType w:val="singleLevel"/>
    <w:tmpl w:val="01323BE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F26DE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3024B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6B7C0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B3199E"/>
    <w:multiLevelType w:val="multilevel"/>
    <w:tmpl w:val="4BAEB3C8"/>
    <w:lvl w:ilvl="0">
      <w:start w:val="1"/>
      <w:numFmt w:val="low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DF302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266C6C"/>
    <w:multiLevelType w:val="singleLevel"/>
    <w:tmpl w:val="72F0DF76"/>
    <w:lvl w:ilvl="0">
      <w:start w:val="1"/>
      <w:numFmt w:val="decimal"/>
      <w:lvlText w:val="%1)"/>
      <w:lvlJc w:val="left"/>
      <w:pPr>
        <w:tabs>
          <w:tab w:val="num" w:pos="644"/>
        </w:tabs>
        <w:ind w:left="644" w:hanging="360"/>
      </w:pPr>
      <w:rPr>
        <w:rFonts w:hint="default"/>
      </w:rPr>
    </w:lvl>
  </w:abstractNum>
  <w:abstractNum w:abstractNumId="22" w15:restartNumberingAfterBreak="0">
    <w:nsid w:val="49E77502"/>
    <w:multiLevelType w:val="hybridMultilevel"/>
    <w:tmpl w:val="1CB6BD2C"/>
    <w:lvl w:ilvl="0" w:tplc="34A05EB0">
      <w:start w:val="1"/>
      <w:numFmt w:val="bullet"/>
      <w:lvlText w:val=""/>
      <w:lvlJc w:val="left"/>
      <w:pPr>
        <w:tabs>
          <w:tab w:val="num" w:pos="491"/>
        </w:tabs>
        <w:ind w:left="491" w:hanging="491"/>
      </w:pPr>
      <w:rPr>
        <w:rFonts w:ascii="Symbol" w:hAnsi="Symbol" w:hint="default"/>
      </w:rPr>
    </w:lvl>
    <w:lvl w:ilvl="1" w:tplc="040C0003" w:tentative="1">
      <w:start w:val="1"/>
      <w:numFmt w:val="bullet"/>
      <w:lvlText w:val="o"/>
      <w:lvlJc w:val="left"/>
      <w:pPr>
        <w:tabs>
          <w:tab w:val="num" w:pos="1288"/>
        </w:tabs>
        <w:ind w:left="1288" w:hanging="360"/>
      </w:pPr>
      <w:rPr>
        <w:rFonts w:ascii="Courier New" w:hAnsi="Courier New" w:hint="default"/>
      </w:rPr>
    </w:lvl>
    <w:lvl w:ilvl="2" w:tplc="040C0005" w:tentative="1">
      <w:start w:val="1"/>
      <w:numFmt w:val="bullet"/>
      <w:lvlText w:val=""/>
      <w:lvlJc w:val="left"/>
      <w:pPr>
        <w:tabs>
          <w:tab w:val="num" w:pos="2008"/>
        </w:tabs>
        <w:ind w:left="2008" w:hanging="360"/>
      </w:pPr>
      <w:rPr>
        <w:rFonts w:ascii="Wingdings" w:hAnsi="Wingdings" w:hint="default"/>
      </w:rPr>
    </w:lvl>
    <w:lvl w:ilvl="3" w:tplc="040C0001" w:tentative="1">
      <w:start w:val="1"/>
      <w:numFmt w:val="bullet"/>
      <w:lvlText w:val=""/>
      <w:lvlJc w:val="left"/>
      <w:pPr>
        <w:tabs>
          <w:tab w:val="num" w:pos="2728"/>
        </w:tabs>
        <w:ind w:left="2728" w:hanging="360"/>
      </w:pPr>
      <w:rPr>
        <w:rFonts w:ascii="Symbol" w:hAnsi="Symbol" w:hint="default"/>
      </w:rPr>
    </w:lvl>
    <w:lvl w:ilvl="4" w:tplc="040C0003" w:tentative="1">
      <w:start w:val="1"/>
      <w:numFmt w:val="bullet"/>
      <w:lvlText w:val="o"/>
      <w:lvlJc w:val="left"/>
      <w:pPr>
        <w:tabs>
          <w:tab w:val="num" w:pos="3448"/>
        </w:tabs>
        <w:ind w:left="3448" w:hanging="360"/>
      </w:pPr>
      <w:rPr>
        <w:rFonts w:ascii="Courier New" w:hAnsi="Courier New" w:hint="default"/>
      </w:rPr>
    </w:lvl>
    <w:lvl w:ilvl="5" w:tplc="040C0005" w:tentative="1">
      <w:start w:val="1"/>
      <w:numFmt w:val="bullet"/>
      <w:lvlText w:val=""/>
      <w:lvlJc w:val="left"/>
      <w:pPr>
        <w:tabs>
          <w:tab w:val="num" w:pos="4168"/>
        </w:tabs>
        <w:ind w:left="4168" w:hanging="360"/>
      </w:pPr>
      <w:rPr>
        <w:rFonts w:ascii="Wingdings" w:hAnsi="Wingdings" w:hint="default"/>
      </w:rPr>
    </w:lvl>
    <w:lvl w:ilvl="6" w:tplc="040C0001" w:tentative="1">
      <w:start w:val="1"/>
      <w:numFmt w:val="bullet"/>
      <w:lvlText w:val=""/>
      <w:lvlJc w:val="left"/>
      <w:pPr>
        <w:tabs>
          <w:tab w:val="num" w:pos="4888"/>
        </w:tabs>
        <w:ind w:left="4888" w:hanging="360"/>
      </w:pPr>
      <w:rPr>
        <w:rFonts w:ascii="Symbol" w:hAnsi="Symbol" w:hint="default"/>
      </w:rPr>
    </w:lvl>
    <w:lvl w:ilvl="7" w:tplc="040C0003" w:tentative="1">
      <w:start w:val="1"/>
      <w:numFmt w:val="bullet"/>
      <w:lvlText w:val="o"/>
      <w:lvlJc w:val="left"/>
      <w:pPr>
        <w:tabs>
          <w:tab w:val="num" w:pos="5608"/>
        </w:tabs>
        <w:ind w:left="5608" w:hanging="360"/>
      </w:pPr>
      <w:rPr>
        <w:rFonts w:ascii="Courier New" w:hAnsi="Courier New" w:hint="default"/>
      </w:rPr>
    </w:lvl>
    <w:lvl w:ilvl="8" w:tplc="040C0005" w:tentative="1">
      <w:start w:val="1"/>
      <w:numFmt w:val="bullet"/>
      <w:lvlText w:val=""/>
      <w:lvlJc w:val="left"/>
      <w:pPr>
        <w:tabs>
          <w:tab w:val="num" w:pos="6328"/>
        </w:tabs>
        <w:ind w:left="6328" w:hanging="360"/>
      </w:pPr>
      <w:rPr>
        <w:rFonts w:ascii="Wingdings" w:hAnsi="Wingdings" w:hint="default"/>
      </w:rPr>
    </w:lvl>
  </w:abstractNum>
  <w:abstractNum w:abstractNumId="23" w15:restartNumberingAfterBreak="0">
    <w:nsid w:val="4C24344A"/>
    <w:multiLevelType w:val="multilevel"/>
    <w:tmpl w:val="4E521D5E"/>
    <w:lvl w:ilvl="0">
      <w:start w:val="1"/>
      <w:numFmt w:val="bullet"/>
      <w:lvlText w:val=""/>
      <w:lvlJc w:val="left"/>
      <w:pPr>
        <w:tabs>
          <w:tab w:val="num" w:pos="1777"/>
        </w:tabs>
        <w:ind w:left="1777" w:hanging="491"/>
      </w:pPr>
      <w:rPr>
        <w:rFonts w:ascii="Symbol" w:hAnsi="Symbol" w:hint="default"/>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D1268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D260B3"/>
    <w:multiLevelType w:val="multilevel"/>
    <w:tmpl w:val="0DB09C3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80CF7"/>
    <w:multiLevelType w:val="singleLevel"/>
    <w:tmpl w:val="17DCB736"/>
    <w:lvl w:ilvl="0">
      <w:start w:val="1"/>
      <w:numFmt w:val="bullet"/>
      <w:lvlText w:val="-"/>
      <w:lvlJc w:val="left"/>
      <w:pPr>
        <w:tabs>
          <w:tab w:val="num" w:pos="1494"/>
        </w:tabs>
        <w:ind w:left="1494" w:hanging="360"/>
      </w:pPr>
      <w:rPr>
        <w:rFonts w:hint="default"/>
      </w:rPr>
    </w:lvl>
  </w:abstractNum>
  <w:abstractNum w:abstractNumId="27" w15:restartNumberingAfterBreak="0">
    <w:nsid w:val="5A391632"/>
    <w:multiLevelType w:val="hybridMultilevel"/>
    <w:tmpl w:val="6C5A41B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5A787936"/>
    <w:multiLevelType w:val="hybridMultilevel"/>
    <w:tmpl w:val="BCBABFD0"/>
    <w:lvl w:ilvl="0" w:tplc="40D47C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B41C7"/>
    <w:multiLevelType w:val="singleLevel"/>
    <w:tmpl w:val="53903F4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DE2046"/>
    <w:multiLevelType w:val="hybridMultilevel"/>
    <w:tmpl w:val="321470F6"/>
    <w:lvl w:ilvl="0" w:tplc="040C0011">
      <w:start w:val="1"/>
      <w:numFmt w:val="decimal"/>
      <w:lvlText w:val="%1)"/>
      <w:lvlJc w:val="left"/>
      <w:pPr>
        <w:tabs>
          <w:tab w:val="num" w:pos="1068"/>
        </w:tabs>
        <w:ind w:left="1068" w:hanging="360"/>
      </w:pPr>
      <w:rPr>
        <w:rFonts w:hint="default"/>
        <w:color w:val="auto"/>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1" w15:restartNumberingAfterBreak="0">
    <w:nsid w:val="707039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3D5692"/>
    <w:multiLevelType w:val="singleLevel"/>
    <w:tmpl w:val="E5B29DFE"/>
    <w:lvl w:ilvl="0">
      <w:start w:val="1"/>
      <w:numFmt w:val="decimal"/>
      <w:lvlText w:val="%1)"/>
      <w:lvlJc w:val="left"/>
      <w:pPr>
        <w:tabs>
          <w:tab w:val="num" w:pos="1494"/>
        </w:tabs>
        <w:ind w:left="1494" w:hanging="360"/>
      </w:pPr>
      <w:rPr>
        <w:rFonts w:hint="default"/>
      </w:rPr>
    </w:lvl>
  </w:abstractNum>
  <w:abstractNum w:abstractNumId="33" w15:restartNumberingAfterBreak="0">
    <w:nsid w:val="755503B5"/>
    <w:multiLevelType w:val="multilevel"/>
    <w:tmpl w:val="5414E05E"/>
    <w:lvl w:ilvl="0">
      <w:start w:val="1"/>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
  </w:num>
  <w:num w:numId="4">
    <w:abstractNumId w:val="4"/>
  </w:num>
  <w:num w:numId="5">
    <w:abstractNumId w:val="2"/>
  </w:num>
  <w:num w:numId="6">
    <w:abstractNumId w:val="8"/>
  </w:num>
  <w:num w:numId="7">
    <w:abstractNumId w:val="3"/>
  </w:num>
  <w:num w:numId="8">
    <w:abstractNumId w:val="0"/>
  </w:num>
  <w:num w:numId="9">
    <w:abstractNumId w:val="19"/>
  </w:num>
  <w:num w:numId="10">
    <w:abstractNumId w:val="25"/>
  </w:num>
  <w:num w:numId="11">
    <w:abstractNumId w:val="33"/>
  </w:num>
  <w:num w:numId="12">
    <w:abstractNumId w:val="11"/>
  </w:num>
  <w:num w:numId="13">
    <w:abstractNumId w:val="20"/>
  </w:num>
  <w:num w:numId="14">
    <w:abstractNumId w:val="24"/>
  </w:num>
  <w:num w:numId="15">
    <w:abstractNumId w:val="23"/>
  </w:num>
  <w:num w:numId="16">
    <w:abstractNumId w:val="6"/>
  </w:num>
  <w:num w:numId="17">
    <w:abstractNumId w:val="31"/>
  </w:num>
  <w:num w:numId="18">
    <w:abstractNumId w:val="16"/>
  </w:num>
  <w:num w:numId="19">
    <w:abstractNumId w:val="12"/>
  </w:num>
  <w:num w:numId="20">
    <w:abstractNumId w:val="17"/>
  </w:num>
  <w:num w:numId="21">
    <w:abstractNumId w:val="10"/>
  </w:num>
  <w:num w:numId="22">
    <w:abstractNumId w:val="18"/>
  </w:num>
  <w:num w:numId="23">
    <w:abstractNumId w:val="15"/>
  </w:num>
  <w:num w:numId="24">
    <w:abstractNumId w:val="13"/>
  </w:num>
  <w:num w:numId="25">
    <w:abstractNumId w:val="5"/>
  </w:num>
  <w:num w:numId="26">
    <w:abstractNumId w:val="29"/>
  </w:num>
  <w:num w:numId="27">
    <w:abstractNumId w:val="9"/>
  </w:num>
  <w:num w:numId="28">
    <w:abstractNumId w:val="22"/>
  </w:num>
  <w:num w:numId="29">
    <w:abstractNumId w:val="14"/>
  </w:num>
  <w:num w:numId="30">
    <w:abstractNumId w:val="27"/>
  </w:num>
  <w:num w:numId="31">
    <w:abstractNumId w:val="28"/>
  </w:num>
  <w:num w:numId="32">
    <w:abstractNumId w:val="30"/>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7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A"/>
    <w:rsid w:val="000001A2"/>
    <w:rsid w:val="00011406"/>
    <w:rsid w:val="00024B10"/>
    <w:rsid w:val="000252CB"/>
    <w:rsid w:val="00030DDB"/>
    <w:rsid w:val="0003193B"/>
    <w:rsid w:val="000323BB"/>
    <w:rsid w:val="000421B9"/>
    <w:rsid w:val="00045594"/>
    <w:rsid w:val="00045B12"/>
    <w:rsid w:val="00046561"/>
    <w:rsid w:val="000534BF"/>
    <w:rsid w:val="0006536C"/>
    <w:rsid w:val="00066139"/>
    <w:rsid w:val="00092308"/>
    <w:rsid w:val="000B32B0"/>
    <w:rsid w:val="000B47A3"/>
    <w:rsid w:val="000C42BC"/>
    <w:rsid w:val="000C668B"/>
    <w:rsid w:val="000D40C9"/>
    <w:rsid w:val="000D6BA9"/>
    <w:rsid w:val="000E7287"/>
    <w:rsid w:val="000F197F"/>
    <w:rsid w:val="000F347B"/>
    <w:rsid w:val="000F4393"/>
    <w:rsid w:val="00101F77"/>
    <w:rsid w:val="00106370"/>
    <w:rsid w:val="00111C1F"/>
    <w:rsid w:val="0012619D"/>
    <w:rsid w:val="001266CF"/>
    <w:rsid w:val="00150E36"/>
    <w:rsid w:val="001554EB"/>
    <w:rsid w:val="00157ED8"/>
    <w:rsid w:val="00162C74"/>
    <w:rsid w:val="00167045"/>
    <w:rsid w:val="001706DB"/>
    <w:rsid w:val="001801CB"/>
    <w:rsid w:val="00193DA5"/>
    <w:rsid w:val="001A3C91"/>
    <w:rsid w:val="001D1763"/>
    <w:rsid w:val="001E3D4D"/>
    <w:rsid w:val="001F14BC"/>
    <w:rsid w:val="00214FA4"/>
    <w:rsid w:val="00216A28"/>
    <w:rsid w:val="00224599"/>
    <w:rsid w:val="002261C2"/>
    <w:rsid w:val="002327FE"/>
    <w:rsid w:val="00237CB7"/>
    <w:rsid w:val="002429E7"/>
    <w:rsid w:val="0024495B"/>
    <w:rsid w:val="00246870"/>
    <w:rsid w:val="00260562"/>
    <w:rsid w:val="00264756"/>
    <w:rsid w:val="002675E6"/>
    <w:rsid w:val="00276290"/>
    <w:rsid w:val="002806F9"/>
    <w:rsid w:val="002920EE"/>
    <w:rsid w:val="002A17EE"/>
    <w:rsid w:val="002B0103"/>
    <w:rsid w:val="002B2251"/>
    <w:rsid w:val="002B305C"/>
    <w:rsid w:val="002B6AE4"/>
    <w:rsid w:val="002C5512"/>
    <w:rsid w:val="002C72AD"/>
    <w:rsid w:val="002D2D12"/>
    <w:rsid w:val="002E54BD"/>
    <w:rsid w:val="002F2D10"/>
    <w:rsid w:val="00303095"/>
    <w:rsid w:val="00305118"/>
    <w:rsid w:val="00316F92"/>
    <w:rsid w:val="00317D05"/>
    <w:rsid w:val="003249A2"/>
    <w:rsid w:val="003355C8"/>
    <w:rsid w:val="00336387"/>
    <w:rsid w:val="00345C1B"/>
    <w:rsid w:val="003648C4"/>
    <w:rsid w:val="00373D0E"/>
    <w:rsid w:val="003876B3"/>
    <w:rsid w:val="0039414E"/>
    <w:rsid w:val="00394BB7"/>
    <w:rsid w:val="00395282"/>
    <w:rsid w:val="003B40D9"/>
    <w:rsid w:val="003B6153"/>
    <w:rsid w:val="003D08B4"/>
    <w:rsid w:val="003E4219"/>
    <w:rsid w:val="00416BD0"/>
    <w:rsid w:val="004239D3"/>
    <w:rsid w:val="00433B4B"/>
    <w:rsid w:val="00433F7F"/>
    <w:rsid w:val="0043435F"/>
    <w:rsid w:val="0043549B"/>
    <w:rsid w:val="0043645D"/>
    <w:rsid w:val="00436D38"/>
    <w:rsid w:val="00440B9A"/>
    <w:rsid w:val="0044291B"/>
    <w:rsid w:val="0044360A"/>
    <w:rsid w:val="00453192"/>
    <w:rsid w:val="004564D0"/>
    <w:rsid w:val="004576A1"/>
    <w:rsid w:val="00460967"/>
    <w:rsid w:val="0046335B"/>
    <w:rsid w:val="004651C5"/>
    <w:rsid w:val="00474F95"/>
    <w:rsid w:val="0048447C"/>
    <w:rsid w:val="004904C5"/>
    <w:rsid w:val="00493C75"/>
    <w:rsid w:val="00493F72"/>
    <w:rsid w:val="00497B2F"/>
    <w:rsid w:val="004A3DA6"/>
    <w:rsid w:val="004B42DB"/>
    <w:rsid w:val="004C5919"/>
    <w:rsid w:val="004C6B1D"/>
    <w:rsid w:val="004D757E"/>
    <w:rsid w:val="004E678B"/>
    <w:rsid w:val="004F41C4"/>
    <w:rsid w:val="004F7526"/>
    <w:rsid w:val="00501CBA"/>
    <w:rsid w:val="005066A1"/>
    <w:rsid w:val="00512199"/>
    <w:rsid w:val="00515D77"/>
    <w:rsid w:val="00520925"/>
    <w:rsid w:val="005225C9"/>
    <w:rsid w:val="00530D11"/>
    <w:rsid w:val="0054472E"/>
    <w:rsid w:val="00545B1F"/>
    <w:rsid w:val="00572001"/>
    <w:rsid w:val="00573546"/>
    <w:rsid w:val="0057389E"/>
    <w:rsid w:val="00585026"/>
    <w:rsid w:val="005978E7"/>
    <w:rsid w:val="005B3E9E"/>
    <w:rsid w:val="005B472B"/>
    <w:rsid w:val="005E7192"/>
    <w:rsid w:val="00607F8E"/>
    <w:rsid w:val="00617450"/>
    <w:rsid w:val="00627283"/>
    <w:rsid w:val="006303E7"/>
    <w:rsid w:val="0063061E"/>
    <w:rsid w:val="00633CDE"/>
    <w:rsid w:val="006479BC"/>
    <w:rsid w:val="00647A25"/>
    <w:rsid w:val="006501DB"/>
    <w:rsid w:val="006710EB"/>
    <w:rsid w:val="00697B25"/>
    <w:rsid w:val="006A0A36"/>
    <w:rsid w:val="006A11DB"/>
    <w:rsid w:val="006A1DDB"/>
    <w:rsid w:val="006A3BC3"/>
    <w:rsid w:val="006C5E3A"/>
    <w:rsid w:val="006F3459"/>
    <w:rsid w:val="006F487F"/>
    <w:rsid w:val="00707D5A"/>
    <w:rsid w:val="007111C2"/>
    <w:rsid w:val="007113D8"/>
    <w:rsid w:val="007113FA"/>
    <w:rsid w:val="0071536A"/>
    <w:rsid w:val="00715A93"/>
    <w:rsid w:val="00744E18"/>
    <w:rsid w:val="00744E97"/>
    <w:rsid w:val="00763184"/>
    <w:rsid w:val="0077060A"/>
    <w:rsid w:val="00770D3E"/>
    <w:rsid w:val="00784851"/>
    <w:rsid w:val="007878A8"/>
    <w:rsid w:val="007A0124"/>
    <w:rsid w:val="007A2841"/>
    <w:rsid w:val="007C360B"/>
    <w:rsid w:val="007C5928"/>
    <w:rsid w:val="007D209D"/>
    <w:rsid w:val="007D4CD5"/>
    <w:rsid w:val="007E261B"/>
    <w:rsid w:val="007E2B4F"/>
    <w:rsid w:val="007E3975"/>
    <w:rsid w:val="007E5E85"/>
    <w:rsid w:val="007E76BA"/>
    <w:rsid w:val="007F2FD9"/>
    <w:rsid w:val="00801D67"/>
    <w:rsid w:val="008028ED"/>
    <w:rsid w:val="008128BC"/>
    <w:rsid w:val="00816E81"/>
    <w:rsid w:val="00826124"/>
    <w:rsid w:val="008336D9"/>
    <w:rsid w:val="008509D7"/>
    <w:rsid w:val="0085411F"/>
    <w:rsid w:val="00855D4B"/>
    <w:rsid w:val="00860A34"/>
    <w:rsid w:val="00870331"/>
    <w:rsid w:val="0087082F"/>
    <w:rsid w:val="00876E5C"/>
    <w:rsid w:val="00880E5D"/>
    <w:rsid w:val="00887E85"/>
    <w:rsid w:val="008A1E3D"/>
    <w:rsid w:val="008A2566"/>
    <w:rsid w:val="008B4653"/>
    <w:rsid w:val="008C0CA3"/>
    <w:rsid w:val="008C5BB9"/>
    <w:rsid w:val="008E58C6"/>
    <w:rsid w:val="008F6B89"/>
    <w:rsid w:val="00900748"/>
    <w:rsid w:val="009024F6"/>
    <w:rsid w:val="00905A95"/>
    <w:rsid w:val="00911DAB"/>
    <w:rsid w:val="00917256"/>
    <w:rsid w:val="00941515"/>
    <w:rsid w:val="00942BA7"/>
    <w:rsid w:val="0094391E"/>
    <w:rsid w:val="00946BE5"/>
    <w:rsid w:val="009478DE"/>
    <w:rsid w:val="00952977"/>
    <w:rsid w:val="00956B78"/>
    <w:rsid w:val="00960447"/>
    <w:rsid w:val="00961509"/>
    <w:rsid w:val="00965343"/>
    <w:rsid w:val="0097215A"/>
    <w:rsid w:val="009812A5"/>
    <w:rsid w:val="00983632"/>
    <w:rsid w:val="009914E9"/>
    <w:rsid w:val="009923CA"/>
    <w:rsid w:val="009956C2"/>
    <w:rsid w:val="009A1E4B"/>
    <w:rsid w:val="009A25AE"/>
    <w:rsid w:val="009A4B2E"/>
    <w:rsid w:val="009A6846"/>
    <w:rsid w:val="009D3EE4"/>
    <w:rsid w:val="009D4DB1"/>
    <w:rsid w:val="009F29DD"/>
    <w:rsid w:val="009F300A"/>
    <w:rsid w:val="00A008C5"/>
    <w:rsid w:val="00A12E69"/>
    <w:rsid w:val="00A14433"/>
    <w:rsid w:val="00A162DE"/>
    <w:rsid w:val="00A31231"/>
    <w:rsid w:val="00A3170F"/>
    <w:rsid w:val="00A41ED4"/>
    <w:rsid w:val="00A55B52"/>
    <w:rsid w:val="00A67DAA"/>
    <w:rsid w:val="00A7028D"/>
    <w:rsid w:val="00A7354F"/>
    <w:rsid w:val="00A76D3A"/>
    <w:rsid w:val="00A87D4A"/>
    <w:rsid w:val="00A95C15"/>
    <w:rsid w:val="00AA3BA8"/>
    <w:rsid w:val="00AA6AE4"/>
    <w:rsid w:val="00AC31C1"/>
    <w:rsid w:val="00AC3C91"/>
    <w:rsid w:val="00AC705E"/>
    <w:rsid w:val="00AE3341"/>
    <w:rsid w:val="00AF2A47"/>
    <w:rsid w:val="00AF5664"/>
    <w:rsid w:val="00B04308"/>
    <w:rsid w:val="00B10954"/>
    <w:rsid w:val="00B1540F"/>
    <w:rsid w:val="00B15B43"/>
    <w:rsid w:val="00B211F3"/>
    <w:rsid w:val="00B25150"/>
    <w:rsid w:val="00B2624D"/>
    <w:rsid w:val="00B335A9"/>
    <w:rsid w:val="00B4207F"/>
    <w:rsid w:val="00B50AA9"/>
    <w:rsid w:val="00B50D13"/>
    <w:rsid w:val="00B547C4"/>
    <w:rsid w:val="00B557E9"/>
    <w:rsid w:val="00B61655"/>
    <w:rsid w:val="00B61E65"/>
    <w:rsid w:val="00B61FC5"/>
    <w:rsid w:val="00B62CBB"/>
    <w:rsid w:val="00B75618"/>
    <w:rsid w:val="00B75AA4"/>
    <w:rsid w:val="00B81C43"/>
    <w:rsid w:val="00B908AE"/>
    <w:rsid w:val="00B966D2"/>
    <w:rsid w:val="00B9755B"/>
    <w:rsid w:val="00BA12EB"/>
    <w:rsid w:val="00BA6458"/>
    <w:rsid w:val="00BB365E"/>
    <w:rsid w:val="00BB6928"/>
    <w:rsid w:val="00BC4E22"/>
    <w:rsid w:val="00BD16EE"/>
    <w:rsid w:val="00BD3ABD"/>
    <w:rsid w:val="00BF1D61"/>
    <w:rsid w:val="00C01D72"/>
    <w:rsid w:val="00C032F5"/>
    <w:rsid w:val="00C07086"/>
    <w:rsid w:val="00C20544"/>
    <w:rsid w:val="00C3183A"/>
    <w:rsid w:val="00C34B0F"/>
    <w:rsid w:val="00C352B9"/>
    <w:rsid w:val="00C5647D"/>
    <w:rsid w:val="00C67AFF"/>
    <w:rsid w:val="00C72B56"/>
    <w:rsid w:val="00C73E0F"/>
    <w:rsid w:val="00C86D0F"/>
    <w:rsid w:val="00C90C4F"/>
    <w:rsid w:val="00C9190C"/>
    <w:rsid w:val="00C9375C"/>
    <w:rsid w:val="00C97000"/>
    <w:rsid w:val="00CA25C7"/>
    <w:rsid w:val="00CB4E51"/>
    <w:rsid w:val="00CC7FE5"/>
    <w:rsid w:val="00CD2B42"/>
    <w:rsid w:val="00CD314E"/>
    <w:rsid w:val="00CD3797"/>
    <w:rsid w:val="00CD660C"/>
    <w:rsid w:val="00CF46EF"/>
    <w:rsid w:val="00D020FC"/>
    <w:rsid w:val="00D02E1F"/>
    <w:rsid w:val="00D17E94"/>
    <w:rsid w:val="00D21471"/>
    <w:rsid w:val="00D223A3"/>
    <w:rsid w:val="00D37CF1"/>
    <w:rsid w:val="00D405C4"/>
    <w:rsid w:val="00D43D4A"/>
    <w:rsid w:val="00D4461A"/>
    <w:rsid w:val="00D513B2"/>
    <w:rsid w:val="00D5161E"/>
    <w:rsid w:val="00D845D1"/>
    <w:rsid w:val="00D9300A"/>
    <w:rsid w:val="00DB0822"/>
    <w:rsid w:val="00DC5BF4"/>
    <w:rsid w:val="00DC652D"/>
    <w:rsid w:val="00DD0E52"/>
    <w:rsid w:val="00DD7833"/>
    <w:rsid w:val="00DE18B9"/>
    <w:rsid w:val="00DE2B83"/>
    <w:rsid w:val="00DE4347"/>
    <w:rsid w:val="00DF1B88"/>
    <w:rsid w:val="00DF4078"/>
    <w:rsid w:val="00E07272"/>
    <w:rsid w:val="00E3005C"/>
    <w:rsid w:val="00E3429E"/>
    <w:rsid w:val="00E43A34"/>
    <w:rsid w:val="00E44733"/>
    <w:rsid w:val="00E45DB6"/>
    <w:rsid w:val="00E75566"/>
    <w:rsid w:val="00E766C6"/>
    <w:rsid w:val="00EA22A8"/>
    <w:rsid w:val="00EA4504"/>
    <w:rsid w:val="00EB7159"/>
    <w:rsid w:val="00EC0375"/>
    <w:rsid w:val="00EC12D7"/>
    <w:rsid w:val="00EC1E38"/>
    <w:rsid w:val="00ED1D18"/>
    <w:rsid w:val="00ED203D"/>
    <w:rsid w:val="00EE16B1"/>
    <w:rsid w:val="00EF3065"/>
    <w:rsid w:val="00EF4AC0"/>
    <w:rsid w:val="00F1470D"/>
    <w:rsid w:val="00F21D22"/>
    <w:rsid w:val="00F22430"/>
    <w:rsid w:val="00F2691E"/>
    <w:rsid w:val="00F42055"/>
    <w:rsid w:val="00F431CD"/>
    <w:rsid w:val="00F44ACD"/>
    <w:rsid w:val="00F51F7F"/>
    <w:rsid w:val="00F61868"/>
    <w:rsid w:val="00F62854"/>
    <w:rsid w:val="00F64920"/>
    <w:rsid w:val="00F74EE5"/>
    <w:rsid w:val="00F769DE"/>
    <w:rsid w:val="00F76EB2"/>
    <w:rsid w:val="00F80E17"/>
    <w:rsid w:val="00F823E8"/>
    <w:rsid w:val="00F8764C"/>
    <w:rsid w:val="00FB17E0"/>
    <w:rsid w:val="00FB7FA8"/>
    <w:rsid w:val="00FD1696"/>
    <w:rsid w:val="00FD620A"/>
    <w:rsid w:val="00FD6EF7"/>
    <w:rsid w:val="00FE4C36"/>
    <w:rsid w:val="00FE694E"/>
    <w:rsid w:val="00FF405C"/>
    <w:rsid w:val="00FF76C4"/>
    <w:rsid w:val="00FF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F09D74"/>
  <w15:docId w15:val="{A4973BBF-C6AB-4D94-A7D0-7C7B9D9A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spacing w:before="120" w:after="120"/>
      <w:ind w:firstLine="1134"/>
      <w:jc w:val="both"/>
    </w:p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qFormat/>
    <w:pPr>
      <w:outlineLvl w:val="1"/>
    </w:pPr>
    <w:rPr>
      <w:b/>
      <w:bCs/>
      <w:sz w:val="24"/>
      <w:szCs w:val="24"/>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pBdr>
        <w:top w:val="single" w:sz="4" w:space="1" w:color="auto"/>
        <w:left w:val="single" w:sz="4" w:space="0" w:color="auto"/>
        <w:bottom w:val="single" w:sz="4" w:space="1" w:color="auto"/>
        <w:right w:val="single" w:sz="4" w:space="4" w:color="auto"/>
      </w:pBdr>
      <w:ind w:left="5670" w:right="5783" w:firstLine="0"/>
      <w:jc w:val="center"/>
      <w:outlineLvl w:val="3"/>
    </w:pPr>
    <w:rPr>
      <w:b/>
      <w:bCs/>
      <w:sz w:val="24"/>
      <w:szCs w:val="24"/>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ind w:left="3119" w:right="3119" w:firstLine="0"/>
      <w:jc w:val="center"/>
      <w:outlineLvl w:val="4"/>
    </w:pPr>
    <w:rPr>
      <w:b/>
      <w:bCs/>
    </w:rPr>
  </w:style>
  <w:style w:type="paragraph" w:styleId="Titre6">
    <w:name w:val="heading 6"/>
    <w:basedOn w:val="Normal"/>
    <w:next w:val="Normal"/>
    <w:qFormat/>
    <w:pPr>
      <w:keepNext/>
      <w:tabs>
        <w:tab w:val="left" w:pos="709"/>
      </w:tabs>
      <w:outlineLvl w:val="5"/>
    </w:pPr>
    <w:rPr>
      <w:b/>
      <w:bCs/>
      <w:i/>
      <w:iCs/>
    </w:rPr>
  </w:style>
  <w:style w:type="paragraph" w:styleId="Titre7">
    <w:name w:val="heading 7"/>
    <w:basedOn w:val="Normal"/>
    <w:next w:val="Normal"/>
    <w:qFormat/>
    <w:pPr>
      <w:keepNext/>
      <w:ind w:firstLine="0"/>
      <w:jc w:val="center"/>
      <w:outlineLvl w:val="6"/>
    </w:pPr>
    <w:rPr>
      <w:b/>
      <w:bCs/>
      <w:i/>
      <w:iCs/>
      <w:u w:val="single"/>
    </w:rPr>
  </w:style>
  <w:style w:type="paragraph" w:styleId="Titre8">
    <w:name w:val="heading 8"/>
    <w:basedOn w:val="Normal"/>
    <w:next w:val="Normal"/>
    <w:qFormat/>
    <w:pPr>
      <w:keepNext/>
      <w:spacing w:line="360" w:lineRule="auto"/>
      <w:ind w:left="-1254" w:right="-60" w:firstLine="1194"/>
      <w:jc w:val="center"/>
      <w:outlineLvl w:val="7"/>
    </w:pPr>
    <w:rPr>
      <w:b/>
      <w:bCs/>
    </w:rPr>
  </w:style>
  <w:style w:type="paragraph" w:styleId="Titre9">
    <w:name w:val="heading 9"/>
    <w:basedOn w:val="Normal"/>
    <w:next w:val="Normal"/>
    <w:qFormat/>
    <w:pPr>
      <w:keepNext/>
      <w:spacing w:before="40" w:after="40"/>
      <w:ind w:firstLine="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Retraitnormal">
    <w:name w:val="Normal Indent"/>
    <w:basedOn w:val="Normal"/>
    <w:pPr>
      <w:ind w:left="709"/>
    </w:pPr>
  </w:style>
  <w:style w:type="paragraph" w:customStyle="1" w:styleId="en-ttetableau">
    <w:name w:val="en-tête tableau"/>
    <w:basedOn w:val="Normal"/>
    <w:pPr>
      <w:spacing w:before="0"/>
      <w:ind w:firstLine="0"/>
      <w:jc w:val="center"/>
    </w:pPr>
    <w:rPr>
      <w:b/>
      <w:bCs/>
    </w:rPr>
  </w:style>
  <w:style w:type="paragraph" w:customStyle="1" w:styleId="listeenretrait">
    <w:name w:val="liste en retrait"/>
    <w:basedOn w:val="Retraitnormal"/>
    <w:pPr>
      <w:spacing w:before="0"/>
      <w:ind w:firstLine="0"/>
      <w:jc w:val="left"/>
    </w:pPr>
  </w:style>
  <w:style w:type="paragraph" w:customStyle="1" w:styleId="listenormale">
    <w:name w:val="liste normale"/>
    <w:basedOn w:val="Normal"/>
    <w:pPr>
      <w:spacing w:before="0"/>
      <w:ind w:firstLine="0"/>
    </w:pPr>
  </w:style>
  <w:style w:type="paragraph" w:customStyle="1" w:styleId="objet">
    <w:name w:val="objet"/>
    <w:basedOn w:val="Normal"/>
    <w:pPr>
      <w:spacing w:before="0"/>
      <w:ind w:firstLine="0"/>
      <w:jc w:val="left"/>
    </w:pPr>
    <w:rPr>
      <w:b/>
      <w:bCs/>
    </w:rPr>
  </w:style>
  <w:style w:type="paragraph" w:customStyle="1" w:styleId="pjrefcopies">
    <w:name w:val="pj/ref/copies"/>
    <w:basedOn w:val="Normal"/>
    <w:pPr>
      <w:ind w:firstLine="0"/>
      <w:jc w:val="left"/>
    </w:pPr>
  </w:style>
  <w:style w:type="paragraph" w:customStyle="1" w:styleId="textetableau">
    <w:name w:val="texte tableau"/>
    <w:basedOn w:val="Normal"/>
    <w:pPr>
      <w:spacing w:before="60" w:after="60"/>
      <w:ind w:firstLine="0"/>
      <w:jc w:val="left"/>
    </w:pPr>
  </w:style>
  <w:style w:type="paragraph" w:customStyle="1" w:styleId="titretableau">
    <w:name w:val="titre tableau"/>
    <w:basedOn w:val="Titre1"/>
    <w:next w:val="en-ttetableau"/>
    <w:pPr>
      <w:keepNext/>
      <w:spacing w:before="480" w:after="240"/>
      <w:ind w:firstLine="0"/>
      <w:jc w:val="center"/>
      <w:outlineLvl w:val="9"/>
    </w:pPr>
    <w:rPr>
      <w:caps/>
      <w:sz w:val="20"/>
      <w:szCs w:val="20"/>
    </w:rPr>
  </w:style>
  <w:style w:type="paragraph" w:customStyle="1" w:styleId="DBRetraitcorpsdetexte">
    <w:name w:val="DB Retrait corps de texte"/>
    <w:basedOn w:val="Normal"/>
  </w:style>
  <w:style w:type="character" w:styleId="Appelnotedebasdep">
    <w:name w:val="footnote reference"/>
    <w:semiHidden/>
    <w:rPr>
      <w:vertAlign w:val="superscript"/>
    </w:rPr>
  </w:style>
  <w:style w:type="paragraph" w:styleId="Notedebasdepage">
    <w:name w:val="footnote text"/>
    <w:basedOn w:val="Normal"/>
    <w:semiHidden/>
    <w:pPr>
      <w:keepLines w:val="0"/>
      <w:spacing w:before="0" w:after="0"/>
      <w:ind w:firstLine="0"/>
      <w:jc w:val="left"/>
    </w:pPr>
  </w:style>
  <w:style w:type="character" w:styleId="Numrodepage">
    <w:name w:val="page number"/>
    <w:basedOn w:val="Policepardfaut"/>
  </w:style>
  <w:style w:type="paragraph" w:styleId="Normalcentr">
    <w:name w:val="Block Text"/>
    <w:basedOn w:val="Normal"/>
    <w:pPr>
      <w:keepNext/>
      <w:pBdr>
        <w:top w:val="single" w:sz="6" w:space="1" w:color="auto"/>
        <w:left w:val="single" w:sz="6" w:space="1" w:color="auto"/>
        <w:bottom w:val="single" w:sz="6" w:space="1" w:color="auto"/>
        <w:right w:val="single" w:sz="6" w:space="1" w:color="auto"/>
      </w:pBdr>
      <w:spacing w:before="360"/>
      <w:ind w:left="5954" w:right="5954"/>
      <w:jc w:val="center"/>
    </w:pPr>
    <w:rPr>
      <w:b/>
      <w:bCs/>
    </w:rPr>
  </w:style>
  <w:style w:type="paragraph" w:styleId="Retraitcorpsdetexte">
    <w:name w:val="Body Text Indent"/>
    <w:basedOn w:val="Normal"/>
    <w:pPr>
      <w:spacing w:after="0"/>
    </w:pPr>
    <w:rPr>
      <w:sz w:val="24"/>
      <w:szCs w:val="24"/>
    </w:rPr>
  </w:style>
  <w:style w:type="paragraph" w:styleId="Titre">
    <w:name w:val="Title"/>
    <w:basedOn w:val="Normal"/>
    <w:qFormat/>
    <w:pPr>
      <w:keepLines w:val="0"/>
      <w:tabs>
        <w:tab w:val="left" w:pos="3456"/>
        <w:tab w:val="left" w:pos="4708"/>
        <w:tab w:val="left" w:pos="6126"/>
        <w:tab w:val="left" w:pos="7685"/>
        <w:tab w:val="left" w:pos="9669"/>
      </w:tabs>
      <w:spacing w:before="240" w:after="240"/>
      <w:ind w:firstLine="0"/>
      <w:jc w:val="center"/>
    </w:pPr>
    <w:rPr>
      <w:rFonts w:ascii="Arial" w:hAnsi="Arial" w:cs="Arial"/>
      <w:b/>
      <w:bCs/>
      <w:color w:val="000000"/>
    </w:rPr>
  </w:style>
  <w:style w:type="paragraph" w:styleId="Listepuces">
    <w:name w:val="List Bullet"/>
    <w:basedOn w:val="Normal"/>
    <w:autoRedefine/>
    <w:rsid w:val="00F1470D"/>
    <w:pPr>
      <w:spacing w:after="60"/>
      <w:ind w:firstLine="284"/>
      <w:jc w:val="center"/>
    </w:pPr>
    <w:rPr>
      <w:sz w:val="24"/>
      <w:szCs w:val="24"/>
    </w:rPr>
  </w:style>
  <w:style w:type="paragraph" w:styleId="Corpsdetexte">
    <w:name w:val="Body Text"/>
    <w:basedOn w:val="Normal"/>
    <w:pPr>
      <w:ind w:firstLine="0"/>
      <w:jc w:val="center"/>
    </w:pPr>
    <w:rPr>
      <w:rFonts w:ascii="Arial" w:hAnsi="Arial" w:cs="Arial"/>
      <w:color w:val="000000"/>
      <w:sz w:val="22"/>
      <w:szCs w:val="22"/>
    </w:rPr>
  </w:style>
  <w:style w:type="paragraph" w:styleId="Retraitcorpsdetexte2">
    <w:name w:val="Body Text Indent 2"/>
    <w:basedOn w:val="Normal"/>
    <w:pPr>
      <w:keepNext/>
      <w:jc w:val="center"/>
    </w:pPr>
  </w:style>
  <w:style w:type="paragraph" w:styleId="Corpsdetexte2">
    <w:name w:val="Body Text 2"/>
    <w:basedOn w:val="Normal"/>
    <w:pPr>
      <w:ind w:firstLine="0"/>
    </w:pPr>
    <w:rPr>
      <w:b/>
      <w:bCs/>
      <w:sz w:val="24"/>
      <w:szCs w:val="24"/>
    </w:rPr>
  </w:style>
  <w:style w:type="paragraph" w:styleId="Corpsdetexte3">
    <w:name w:val="Body Text 3"/>
    <w:basedOn w:val="Normal"/>
    <w:pPr>
      <w:ind w:firstLine="0"/>
      <w:jc w:val="center"/>
    </w:pPr>
  </w:style>
  <w:style w:type="paragraph" w:customStyle="1" w:styleId="DBtitretableau">
    <w:name w:val="DB titre tableau"/>
    <w:basedOn w:val="Normal"/>
    <w:next w:val="Normal"/>
    <w:pPr>
      <w:keepNext/>
      <w:spacing w:before="480" w:after="240"/>
      <w:ind w:firstLine="0"/>
      <w:jc w:val="center"/>
    </w:pPr>
    <w:rPr>
      <w:b/>
      <w:bCs/>
      <w:smallCaps/>
      <w:sz w:val="24"/>
      <w:szCs w:val="24"/>
      <w:u w:val="single"/>
    </w:rPr>
  </w:style>
  <w:style w:type="paragraph" w:styleId="Retraitcorpsdetexte3">
    <w:name w:val="Body Text Indent 3"/>
    <w:basedOn w:val="Normal"/>
    <w:rPr>
      <w:i/>
      <w:iCs/>
      <w:sz w:val="24"/>
      <w:szCs w:val="24"/>
    </w:rPr>
  </w:style>
  <w:style w:type="paragraph" w:customStyle="1" w:styleId="DBtextetableau">
    <w:name w:val="DB texte tableau"/>
    <w:basedOn w:val="Normal"/>
    <w:pPr>
      <w:ind w:firstLine="0"/>
      <w:jc w:val="left"/>
    </w:pPr>
    <w:rPr>
      <w:sz w:val="24"/>
      <w:szCs w:val="24"/>
    </w:rPr>
  </w:style>
  <w:style w:type="paragraph" w:customStyle="1" w:styleId="DBen-ttetableau">
    <w:name w:val="DB en-tête tableau"/>
    <w:basedOn w:val="Normal"/>
    <w:pPr>
      <w:ind w:firstLine="0"/>
      <w:jc w:val="center"/>
    </w:pPr>
    <w:rPr>
      <w:b/>
      <w:bCs/>
      <w:sz w:val="24"/>
      <w:szCs w:val="24"/>
    </w:rPr>
  </w:style>
  <w:style w:type="paragraph" w:customStyle="1" w:styleId="DBCorpsdetexte">
    <w:name w:val="DB Corps de texte"/>
    <w:basedOn w:val="Normal"/>
    <w:pPr>
      <w:ind w:firstLine="0"/>
    </w:pPr>
  </w:style>
  <w:style w:type="character" w:styleId="Lienhypertexte">
    <w:name w:val="Hyperlink"/>
    <w:rPr>
      <w:color w:val="0000FF"/>
      <w:u w:val="single"/>
    </w:rPr>
  </w:style>
  <w:style w:type="paragraph" w:customStyle="1" w:styleId="DBListenumros2">
    <w:name w:val="DB Liste à numéros 2"/>
    <w:basedOn w:val="Normal"/>
  </w:style>
  <w:style w:type="paragraph" w:customStyle="1" w:styleId="Titre1agrgat">
    <w:name w:val="Titre 1 agrégat"/>
    <w:basedOn w:val="Normal"/>
    <w:next w:val="Normal"/>
    <w:pPr>
      <w:spacing w:before="0" w:after="0"/>
      <w:ind w:firstLine="0"/>
    </w:pPr>
    <w:rPr>
      <w:rFonts w:ascii="Arial" w:hAnsi="Arial" w:cs="Arial"/>
      <w:b/>
      <w:bCs/>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Notedefin">
    <w:name w:val="endnote text"/>
    <w:basedOn w:val="Normal"/>
    <w:semiHidden/>
  </w:style>
  <w:style w:type="character" w:styleId="Appeldenotedefin">
    <w:name w:val="endnote reference"/>
    <w:semiHidden/>
    <w:rPr>
      <w:vertAlign w:val="superscript"/>
    </w:rPr>
  </w:style>
  <w:style w:type="paragraph" w:styleId="Textedebulles">
    <w:name w:val="Balloon Text"/>
    <w:basedOn w:val="Normal"/>
    <w:semiHidden/>
    <w:rPr>
      <w:rFonts w:ascii="Tahoma" w:hAnsi="Tahoma" w:cs="Tahoma"/>
      <w:sz w:val="16"/>
      <w:szCs w:val="16"/>
    </w:rPr>
  </w:style>
  <w:style w:type="character" w:styleId="lev">
    <w:name w:val="Strong"/>
    <w:qFormat/>
    <w:rPr>
      <w:b/>
      <w:bCs/>
    </w:rPr>
  </w:style>
  <w:style w:type="character" w:styleId="Accentuation">
    <w:name w:val="Emphasis"/>
    <w:qFormat/>
    <w:rPr>
      <w:i/>
      <w:iCs/>
    </w:rPr>
  </w:style>
  <w:style w:type="character" w:styleId="Marquedecommentaire">
    <w:name w:val="annotation reference"/>
    <w:basedOn w:val="Policepardfaut"/>
    <w:semiHidden/>
    <w:unhideWhenUsed/>
    <w:rsid w:val="009A4B2E"/>
    <w:rPr>
      <w:sz w:val="16"/>
      <w:szCs w:val="16"/>
    </w:rPr>
  </w:style>
  <w:style w:type="paragraph" w:styleId="Commentaire">
    <w:name w:val="annotation text"/>
    <w:basedOn w:val="Normal"/>
    <w:link w:val="CommentaireCar"/>
    <w:semiHidden/>
    <w:unhideWhenUsed/>
    <w:rsid w:val="009A4B2E"/>
  </w:style>
  <w:style w:type="character" w:customStyle="1" w:styleId="CommentaireCar">
    <w:name w:val="Commentaire Car"/>
    <w:basedOn w:val="Policepardfaut"/>
    <w:link w:val="Commentaire"/>
    <w:semiHidden/>
    <w:rsid w:val="009A4B2E"/>
  </w:style>
  <w:style w:type="paragraph" w:styleId="Objetducommentaire">
    <w:name w:val="annotation subject"/>
    <w:basedOn w:val="Commentaire"/>
    <w:next w:val="Commentaire"/>
    <w:link w:val="ObjetducommentaireCar"/>
    <w:semiHidden/>
    <w:unhideWhenUsed/>
    <w:rsid w:val="009A4B2E"/>
    <w:rPr>
      <w:b/>
      <w:bCs/>
    </w:rPr>
  </w:style>
  <w:style w:type="character" w:customStyle="1" w:styleId="ObjetducommentaireCar">
    <w:name w:val="Objet du commentaire Car"/>
    <w:basedOn w:val="CommentaireCar"/>
    <w:link w:val="Objetducommentaire"/>
    <w:semiHidden/>
    <w:rsid w:val="009A4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047">
      <w:bodyDiv w:val="1"/>
      <w:marLeft w:val="0"/>
      <w:marRight w:val="0"/>
      <w:marTop w:val="0"/>
      <w:marBottom w:val="0"/>
      <w:divBdr>
        <w:top w:val="none" w:sz="0" w:space="0" w:color="auto"/>
        <w:left w:val="none" w:sz="0" w:space="0" w:color="auto"/>
        <w:bottom w:val="none" w:sz="0" w:space="0" w:color="auto"/>
        <w:right w:val="none" w:sz="0" w:space="0" w:color="auto"/>
      </w:divBdr>
    </w:div>
    <w:div w:id="51346097">
      <w:bodyDiv w:val="1"/>
      <w:marLeft w:val="0"/>
      <w:marRight w:val="0"/>
      <w:marTop w:val="0"/>
      <w:marBottom w:val="0"/>
      <w:divBdr>
        <w:top w:val="none" w:sz="0" w:space="0" w:color="auto"/>
        <w:left w:val="none" w:sz="0" w:space="0" w:color="auto"/>
        <w:bottom w:val="none" w:sz="0" w:space="0" w:color="auto"/>
        <w:right w:val="none" w:sz="0" w:space="0" w:color="auto"/>
      </w:divBdr>
    </w:div>
    <w:div w:id="136000125">
      <w:bodyDiv w:val="1"/>
      <w:marLeft w:val="0"/>
      <w:marRight w:val="0"/>
      <w:marTop w:val="0"/>
      <w:marBottom w:val="0"/>
      <w:divBdr>
        <w:top w:val="none" w:sz="0" w:space="0" w:color="auto"/>
        <w:left w:val="none" w:sz="0" w:space="0" w:color="auto"/>
        <w:bottom w:val="none" w:sz="0" w:space="0" w:color="auto"/>
        <w:right w:val="none" w:sz="0" w:space="0" w:color="auto"/>
      </w:divBdr>
    </w:div>
    <w:div w:id="162358416">
      <w:bodyDiv w:val="1"/>
      <w:marLeft w:val="0"/>
      <w:marRight w:val="0"/>
      <w:marTop w:val="0"/>
      <w:marBottom w:val="0"/>
      <w:divBdr>
        <w:top w:val="none" w:sz="0" w:space="0" w:color="auto"/>
        <w:left w:val="none" w:sz="0" w:space="0" w:color="auto"/>
        <w:bottom w:val="none" w:sz="0" w:space="0" w:color="auto"/>
        <w:right w:val="none" w:sz="0" w:space="0" w:color="auto"/>
      </w:divBdr>
    </w:div>
    <w:div w:id="169493731">
      <w:bodyDiv w:val="1"/>
      <w:marLeft w:val="0"/>
      <w:marRight w:val="0"/>
      <w:marTop w:val="0"/>
      <w:marBottom w:val="0"/>
      <w:divBdr>
        <w:top w:val="none" w:sz="0" w:space="0" w:color="auto"/>
        <w:left w:val="none" w:sz="0" w:space="0" w:color="auto"/>
        <w:bottom w:val="none" w:sz="0" w:space="0" w:color="auto"/>
        <w:right w:val="none" w:sz="0" w:space="0" w:color="auto"/>
      </w:divBdr>
    </w:div>
    <w:div w:id="396322271">
      <w:bodyDiv w:val="1"/>
      <w:marLeft w:val="0"/>
      <w:marRight w:val="0"/>
      <w:marTop w:val="0"/>
      <w:marBottom w:val="0"/>
      <w:divBdr>
        <w:top w:val="none" w:sz="0" w:space="0" w:color="auto"/>
        <w:left w:val="none" w:sz="0" w:space="0" w:color="auto"/>
        <w:bottom w:val="none" w:sz="0" w:space="0" w:color="auto"/>
        <w:right w:val="none" w:sz="0" w:space="0" w:color="auto"/>
      </w:divBdr>
    </w:div>
    <w:div w:id="467430679">
      <w:bodyDiv w:val="1"/>
      <w:marLeft w:val="0"/>
      <w:marRight w:val="0"/>
      <w:marTop w:val="0"/>
      <w:marBottom w:val="0"/>
      <w:divBdr>
        <w:top w:val="none" w:sz="0" w:space="0" w:color="auto"/>
        <w:left w:val="none" w:sz="0" w:space="0" w:color="auto"/>
        <w:bottom w:val="none" w:sz="0" w:space="0" w:color="auto"/>
        <w:right w:val="none" w:sz="0" w:space="0" w:color="auto"/>
      </w:divBdr>
    </w:div>
    <w:div w:id="485244787">
      <w:bodyDiv w:val="1"/>
      <w:marLeft w:val="0"/>
      <w:marRight w:val="0"/>
      <w:marTop w:val="0"/>
      <w:marBottom w:val="0"/>
      <w:divBdr>
        <w:top w:val="none" w:sz="0" w:space="0" w:color="auto"/>
        <w:left w:val="none" w:sz="0" w:space="0" w:color="auto"/>
        <w:bottom w:val="none" w:sz="0" w:space="0" w:color="auto"/>
        <w:right w:val="none" w:sz="0" w:space="0" w:color="auto"/>
      </w:divBdr>
    </w:div>
    <w:div w:id="586816649">
      <w:bodyDiv w:val="1"/>
      <w:marLeft w:val="0"/>
      <w:marRight w:val="0"/>
      <w:marTop w:val="0"/>
      <w:marBottom w:val="0"/>
      <w:divBdr>
        <w:top w:val="none" w:sz="0" w:space="0" w:color="auto"/>
        <w:left w:val="none" w:sz="0" w:space="0" w:color="auto"/>
        <w:bottom w:val="none" w:sz="0" w:space="0" w:color="auto"/>
        <w:right w:val="none" w:sz="0" w:space="0" w:color="auto"/>
      </w:divBdr>
    </w:div>
    <w:div w:id="744496549">
      <w:bodyDiv w:val="1"/>
      <w:marLeft w:val="0"/>
      <w:marRight w:val="0"/>
      <w:marTop w:val="0"/>
      <w:marBottom w:val="0"/>
      <w:divBdr>
        <w:top w:val="none" w:sz="0" w:space="0" w:color="auto"/>
        <w:left w:val="none" w:sz="0" w:space="0" w:color="auto"/>
        <w:bottom w:val="none" w:sz="0" w:space="0" w:color="auto"/>
        <w:right w:val="none" w:sz="0" w:space="0" w:color="auto"/>
      </w:divBdr>
    </w:div>
    <w:div w:id="863832631">
      <w:bodyDiv w:val="1"/>
      <w:marLeft w:val="0"/>
      <w:marRight w:val="0"/>
      <w:marTop w:val="0"/>
      <w:marBottom w:val="0"/>
      <w:divBdr>
        <w:top w:val="none" w:sz="0" w:space="0" w:color="auto"/>
        <w:left w:val="none" w:sz="0" w:space="0" w:color="auto"/>
        <w:bottom w:val="none" w:sz="0" w:space="0" w:color="auto"/>
        <w:right w:val="none" w:sz="0" w:space="0" w:color="auto"/>
      </w:divBdr>
      <w:divsChild>
        <w:div w:id="1428887592">
          <w:marLeft w:val="0"/>
          <w:marRight w:val="0"/>
          <w:marTop w:val="0"/>
          <w:marBottom w:val="0"/>
          <w:divBdr>
            <w:top w:val="none" w:sz="0" w:space="0" w:color="auto"/>
            <w:left w:val="none" w:sz="0" w:space="0" w:color="auto"/>
            <w:bottom w:val="none" w:sz="0" w:space="0" w:color="auto"/>
            <w:right w:val="none" w:sz="0" w:space="0" w:color="auto"/>
          </w:divBdr>
        </w:div>
      </w:divsChild>
    </w:div>
    <w:div w:id="1065489628">
      <w:bodyDiv w:val="1"/>
      <w:marLeft w:val="0"/>
      <w:marRight w:val="0"/>
      <w:marTop w:val="0"/>
      <w:marBottom w:val="0"/>
      <w:divBdr>
        <w:top w:val="none" w:sz="0" w:space="0" w:color="auto"/>
        <w:left w:val="none" w:sz="0" w:space="0" w:color="auto"/>
        <w:bottom w:val="none" w:sz="0" w:space="0" w:color="auto"/>
        <w:right w:val="none" w:sz="0" w:space="0" w:color="auto"/>
      </w:divBdr>
    </w:div>
    <w:div w:id="1486435787">
      <w:bodyDiv w:val="1"/>
      <w:marLeft w:val="0"/>
      <w:marRight w:val="0"/>
      <w:marTop w:val="0"/>
      <w:marBottom w:val="0"/>
      <w:divBdr>
        <w:top w:val="none" w:sz="0" w:space="0" w:color="auto"/>
        <w:left w:val="none" w:sz="0" w:space="0" w:color="auto"/>
        <w:bottom w:val="none" w:sz="0" w:space="0" w:color="auto"/>
        <w:right w:val="none" w:sz="0" w:space="0" w:color="auto"/>
      </w:divBdr>
    </w:div>
    <w:div w:id="1497064124">
      <w:bodyDiv w:val="1"/>
      <w:marLeft w:val="0"/>
      <w:marRight w:val="0"/>
      <w:marTop w:val="0"/>
      <w:marBottom w:val="0"/>
      <w:divBdr>
        <w:top w:val="none" w:sz="0" w:space="0" w:color="auto"/>
        <w:left w:val="none" w:sz="0" w:space="0" w:color="auto"/>
        <w:bottom w:val="none" w:sz="0" w:space="0" w:color="auto"/>
        <w:right w:val="none" w:sz="0" w:space="0" w:color="auto"/>
      </w:divBdr>
    </w:div>
    <w:div w:id="1607157537">
      <w:bodyDiv w:val="1"/>
      <w:marLeft w:val="0"/>
      <w:marRight w:val="0"/>
      <w:marTop w:val="0"/>
      <w:marBottom w:val="0"/>
      <w:divBdr>
        <w:top w:val="none" w:sz="0" w:space="0" w:color="auto"/>
        <w:left w:val="none" w:sz="0" w:space="0" w:color="auto"/>
        <w:bottom w:val="none" w:sz="0" w:space="0" w:color="auto"/>
        <w:right w:val="none" w:sz="0" w:space="0" w:color="auto"/>
      </w:divBdr>
    </w:div>
    <w:div w:id="16606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REF-1232703248731-76</vt:lpstr>
    </vt:vector>
  </TitlesOfParts>
  <Company>M.E.F.I</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REF-1232703248731-76</dc:title>
  <dc:subject>1A-03-476</dc:subject>
  <dc:creator>POISSON</dc:creator>
  <cp:keywords>01. PROCEDURE BUDGETAIRE/04. BUDGET 2008/11. PLFI : PREP INIT,CADRAGE-MDT/110 Prep init : RTP, preconf</cp:keywords>
  <dc:description>Sommaire des annexes de la circulaire.</dc:description>
  <cp:lastModifiedBy>PEYROUX Jean-Baptiste</cp:lastModifiedBy>
  <cp:revision>5</cp:revision>
  <cp:lastPrinted>2017-01-24T19:13:00Z</cp:lastPrinted>
  <dcterms:created xsi:type="dcterms:W3CDTF">2020-01-13T15:39:00Z</dcterms:created>
  <dcterms:modified xsi:type="dcterms:W3CDTF">2021-01-07T14:02:00Z</dcterms:modified>
</cp:coreProperties>
</file>