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0D" w:rsidRPr="00176685" w:rsidRDefault="00A019B6" w:rsidP="00BE0780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ANNEXE 3</w:t>
      </w:r>
      <w:r w:rsidR="00585AE4" w:rsidRPr="00176685">
        <w:rPr>
          <w:b/>
          <w:color w:val="000000"/>
        </w:rPr>
        <w:t xml:space="preserve"> </w:t>
      </w:r>
      <w:r w:rsidR="00DE618D" w:rsidRPr="00176685">
        <w:rPr>
          <w:b/>
          <w:color w:val="000000"/>
        </w:rPr>
        <w:t xml:space="preserve">Suivi des risques budgétaires </w:t>
      </w:r>
      <w:r w:rsidR="00210731" w:rsidRPr="00176685">
        <w:rPr>
          <w:b/>
          <w:color w:val="000000"/>
        </w:rPr>
        <w:t>et de</w:t>
      </w:r>
      <w:r w:rsidR="00DE618D" w:rsidRPr="00176685">
        <w:rPr>
          <w:b/>
          <w:color w:val="000000"/>
        </w:rPr>
        <w:t xml:space="preserve"> leur maîtrise</w:t>
      </w:r>
    </w:p>
    <w:p w:rsidR="002A7018" w:rsidRDefault="004E777F" w:rsidP="002A70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indiqué au sein de la circulaire, l</w:t>
      </w:r>
      <w:r w:rsidR="005A5C01">
        <w:rPr>
          <w:rFonts w:ascii="Times New Roman" w:hAnsi="Times New Roman" w:cs="Times New Roman"/>
          <w:sz w:val="24"/>
          <w:szCs w:val="24"/>
        </w:rPr>
        <w:t xml:space="preserve">’exercice de transmission des risques budgétaires </w:t>
      </w:r>
      <w:r w:rsidR="00D46240">
        <w:rPr>
          <w:rFonts w:ascii="Times New Roman" w:hAnsi="Times New Roman" w:cs="Times New Roman"/>
          <w:sz w:val="24"/>
          <w:szCs w:val="24"/>
        </w:rPr>
        <w:t>ministériel</w:t>
      </w:r>
      <w:r w:rsidR="00F41269">
        <w:rPr>
          <w:rFonts w:ascii="Times New Roman" w:hAnsi="Times New Roman" w:cs="Times New Roman"/>
          <w:sz w:val="24"/>
          <w:szCs w:val="24"/>
        </w:rPr>
        <w:t>s</w:t>
      </w:r>
      <w:r w:rsidR="005A5C01">
        <w:rPr>
          <w:rFonts w:ascii="Times New Roman" w:hAnsi="Times New Roman" w:cs="Times New Roman"/>
          <w:sz w:val="24"/>
          <w:szCs w:val="24"/>
        </w:rPr>
        <w:t xml:space="preserve"> est modifié pour 2018. </w:t>
      </w:r>
      <w:r w:rsidR="00D46240">
        <w:rPr>
          <w:rFonts w:ascii="Times New Roman" w:hAnsi="Times New Roman" w:cs="Times New Roman"/>
          <w:sz w:val="24"/>
          <w:szCs w:val="24"/>
        </w:rPr>
        <w:t>Deux</w:t>
      </w:r>
      <w:r w:rsidR="002A7018">
        <w:rPr>
          <w:rFonts w:ascii="Times New Roman" w:hAnsi="Times New Roman" w:cs="Times New Roman"/>
          <w:sz w:val="24"/>
          <w:szCs w:val="24"/>
        </w:rPr>
        <w:t xml:space="preserve"> nouveautés sont introduites pour </w:t>
      </w:r>
      <w:r w:rsidR="00912AC0">
        <w:rPr>
          <w:rFonts w:ascii="Times New Roman" w:hAnsi="Times New Roman" w:cs="Times New Roman"/>
          <w:sz w:val="24"/>
          <w:szCs w:val="24"/>
        </w:rPr>
        <w:t>homogénéiser</w:t>
      </w:r>
      <w:r w:rsidR="002A7018">
        <w:rPr>
          <w:rFonts w:ascii="Times New Roman" w:hAnsi="Times New Roman" w:cs="Times New Roman"/>
          <w:sz w:val="24"/>
          <w:szCs w:val="24"/>
        </w:rPr>
        <w:t xml:space="preserve"> et affiner la production d’une cartographie d’ensemble des risques budgétaires de l’Etat</w:t>
      </w:r>
      <w:r w:rsidR="006A0BD3">
        <w:rPr>
          <w:rFonts w:ascii="Times New Roman" w:hAnsi="Times New Roman" w:cs="Times New Roman"/>
          <w:sz w:val="24"/>
          <w:szCs w:val="24"/>
        </w:rPr>
        <w:t> :</w:t>
      </w:r>
      <w:r w:rsidR="002A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07" w:rsidRDefault="002A7018" w:rsidP="00CC2663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019B6">
        <w:rPr>
          <w:rFonts w:ascii="Times New Roman" w:hAnsi="Times New Roman" w:cs="Times New Roman"/>
          <w:sz w:val="24"/>
          <w:szCs w:val="24"/>
        </w:rPr>
        <w:t>e tableau joint en annexe 3</w:t>
      </w:r>
      <w:r w:rsidR="005B4007">
        <w:rPr>
          <w:rFonts w:ascii="Times New Roman" w:hAnsi="Times New Roman" w:cs="Times New Roman"/>
          <w:sz w:val="24"/>
          <w:szCs w:val="24"/>
        </w:rPr>
        <w:t xml:space="preserve"> b</w:t>
      </w:r>
      <w:r w:rsidR="004E777F" w:rsidRPr="002A7018">
        <w:rPr>
          <w:rFonts w:ascii="Times New Roman" w:hAnsi="Times New Roman" w:cs="Times New Roman"/>
          <w:sz w:val="24"/>
          <w:szCs w:val="24"/>
        </w:rPr>
        <w:t xml:space="preserve">is détaille cette année une liste de risques </w:t>
      </w:r>
      <w:r w:rsidR="00E32387">
        <w:rPr>
          <w:rFonts w:ascii="Times New Roman" w:hAnsi="Times New Roman" w:cs="Times New Roman"/>
          <w:sz w:val="24"/>
          <w:szCs w:val="24"/>
        </w:rPr>
        <w:t>interministériels</w:t>
      </w:r>
      <w:r w:rsidR="004E777F" w:rsidRPr="002A7018">
        <w:rPr>
          <w:rFonts w:ascii="Times New Roman" w:hAnsi="Times New Roman" w:cs="Times New Roman"/>
          <w:sz w:val="24"/>
          <w:szCs w:val="24"/>
        </w:rPr>
        <w:t xml:space="preserve"> </w:t>
      </w:r>
      <w:r w:rsidR="005B6875">
        <w:rPr>
          <w:rFonts w:ascii="Times New Roman" w:hAnsi="Times New Roman" w:cs="Times New Roman"/>
          <w:sz w:val="24"/>
          <w:szCs w:val="24"/>
        </w:rPr>
        <w:t xml:space="preserve">élaborée </w:t>
      </w:r>
      <w:r w:rsidR="004E777F" w:rsidRPr="002A7018">
        <w:rPr>
          <w:rFonts w:ascii="Times New Roman" w:hAnsi="Times New Roman" w:cs="Times New Roman"/>
          <w:sz w:val="24"/>
          <w:szCs w:val="24"/>
        </w:rPr>
        <w:t xml:space="preserve">à partir des informations </w:t>
      </w:r>
      <w:r w:rsidR="00667661">
        <w:rPr>
          <w:rFonts w:ascii="Times New Roman" w:hAnsi="Times New Roman" w:cs="Times New Roman"/>
          <w:sz w:val="24"/>
          <w:szCs w:val="24"/>
        </w:rPr>
        <w:t xml:space="preserve">agrégées, </w:t>
      </w:r>
      <w:r w:rsidR="004E777F" w:rsidRPr="002A7018">
        <w:rPr>
          <w:rFonts w:ascii="Times New Roman" w:hAnsi="Times New Roman" w:cs="Times New Roman"/>
          <w:sz w:val="24"/>
          <w:szCs w:val="24"/>
        </w:rPr>
        <w:t>transmises les années précédentes par chaque ministère</w:t>
      </w:r>
      <w:r w:rsidR="006A0BD3">
        <w:rPr>
          <w:rFonts w:ascii="Times New Roman" w:hAnsi="Times New Roman" w:cs="Times New Roman"/>
          <w:sz w:val="24"/>
          <w:szCs w:val="24"/>
        </w:rPr>
        <w:t>,</w:t>
      </w:r>
      <w:r w:rsidR="004E777F" w:rsidRPr="002A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663" w:rsidRPr="006A0BD3" w:rsidRDefault="00CC2663" w:rsidP="00CC2663">
      <w:pPr>
        <w:pStyle w:val="Paragraphedeliste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2AC0" w:rsidRPr="00912AC0" w:rsidRDefault="00D46240" w:rsidP="00CC2663">
      <w:pPr>
        <w:pStyle w:val="Paragraphedeliste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tableau prévoit désormais </w:t>
      </w:r>
      <w:r w:rsidR="00165044">
        <w:rPr>
          <w:rFonts w:ascii="Times New Roman" w:hAnsi="Times New Roman" w:cs="Times New Roman"/>
          <w:sz w:val="24"/>
          <w:szCs w:val="24"/>
        </w:rPr>
        <w:t>la</w:t>
      </w:r>
      <w:r w:rsidR="00940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cotation </w:t>
      </w:r>
      <w:r w:rsidR="00165044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risques recensés</w:t>
      </w:r>
      <w:r w:rsidR="00165044">
        <w:rPr>
          <w:rFonts w:ascii="Times New Roman" w:hAnsi="Times New Roman" w:cs="Times New Roman"/>
          <w:sz w:val="24"/>
          <w:szCs w:val="24"/>
        </w:rPr>
        <w:t xml:space="preserve"> en complément de la cotation du dispositif de maitrise de risque associé</w:t>
      </w:r>
      <w:r w:rsidR="00F41269">
        <w:rPr>
          <w:rFonts w:ascii="Times New Roman" w:hAnsi="Times New Roman" w:cs="Times New Roman"/>
          <w:sz w:val="24"/>
          <w:szCs w:val="24"/>
        </w:rPr>
        <w:t>.</w:t>
      </w:r>
    </w:p>
    <w:p w:rsidR="00912AC0" w:rsidRDefault="00912AC0" w:rsidP="00912A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007" w:rsidRPr="00912AC0" w:rsidRDefault="005B4007" w:rsidP="00912AC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AC0">
        <w:rPr>
          <w:rFonts w:ascii="Times New Roman" w:hAnsi="Times New Roman" w:cs="Times New Roman"/>
          <w:b/>
          <w:sz w:val="24"/>
          <w:szCs w:val="24"/>
        </w:rPr>
        <w:t>L</w:t>
      </w:r>
      <w:r w:rsidR="006D21C5" w:rsidRPr="00912AC0">
        <w:rPr>
          <w:rFonts w:ascii="Times New Roman" w:hAnsi="Times New Roman" w:cs="Times New Roman"/>
          <w:b/>
          <w:sz w:val="24"/>
          <w:szCs w:val="24"/>
        </w:rPr>
        <w:t xml:space="preserve">e tableau de recensement </w:t>
      </w:r>
      <w:r w:rsidRPr="00912AC0">
        <w:rPr>
          <w:rFonts w:ascii="Times New Roman" w:hAnsi="Times New Roman" w:cs="Times New Roman"/>
          <w:b/>
          <w:sz w:val="24"/>
          <w:szCs w:val="24"/>
        </w:rPr>
        <w:t xml:space="preserve">des risques budgétaires </w:t>
      </w:r>
      <w:r w:rsidR="00D46240">
        <w:rPr>
          <w:rFonts w:ascii="Times New Roman" w:hAnsi="Times New Roman" w:cs="Times New Roman"/>
          <w:b/>
          <w:sz w:val="24"/>
          <w:szCs w:val="24"/>
        </w:rPr>
        <w:t xml:space="preserve">ministériels </w:t>
      </w:r>
      <w:r w:rsidR="006D21C5" w:rsidRPr="00912AC0">
        <w:rPr>
          <w:rFonts w:ascii="Times New Roman" w:hAnsi="Times New Roman" w:cs="Times New Roman"/>
          <w:b/>
          <w:sz w:val="24"/>
          <w:szCs w:val="24"/>
        </w:rPr>
        <w:t xml:space="preserve">comporte </w:t>
      </w:r>
      <w:r w:rsidR="00A96D63" w:rsidRPr="00912AC0">
        <w:rPr>
          <w:rFonts w:ascii="Times New Roman" w:hAnsi="Times New Roman" w:cs="Times New Roman"/>
          <w:b/>
          <w:sz w:val="24"/>
          <w:szCs w:val="24"/>
        </w:rPr>
        <w:t>trois</w:t>
      </w:r>
      <w:r w:rsidRPr="00912AC0">
        <w:rPr>
          <w:rFonts w:ascii="Times New Roman" w:hAnsi="Times New Roman" w:cs="Times New Roman"/>
          <w:b/>
          <w:sz w:val="24"/>
          <w:szCs w:val="24"/>
        </w:rPr>
        <w:t xml:space="preserve"> parties</w:t>
      </w:r>
      <w:r w:rsidR="006D21C5" w:rsidRPr="00912AC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0BD3" w:rsidRPr="00BA7209" w:rsidRDefault="006A0BD3" w:rsidP="002A701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D63" w:rsidRPr="00A96D63" w:rsidRDefault="00BA7209" w:rsidP="002A701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96D63" w:rsidRPr="00A96D63">
        <w:rPr>
          <w:rFonts w:ascii="Times New Roman" w:hAnsi="Times New Roman" w:cs="Times New Roman"/>
          <w:b/>
          <w:sz w:val="24"/>
          <w:szCs w:val="24"/>
        </w:rPr>
        <w:t>Description du risque</w:t>
      </w:r>
    </w:p>
    <w:p w:rsidR="00912AC0" w:rsidRDefault="0054137C" w:rsidP="004E777F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C0">
        <w:rPr>
          <w:rFonts w:ascii="Times New Roman" w:hAnsi="Times New Roman" w:cs="Times New Roman"/>
          <w:i/>
          <w:color w:val="000000"/>
          <w:sz w:val="24"/>
          <w:szCs w:val="24"/>
        </w:rPr>
        <w:t>Numéro(s) du ou des p</w:t>
      </w:r>
      <w:r w:rsidR="004E777F" w:rsidRPr="00912AC0">
        <w:rPr>
          <w:rFonts w:ascii="Times New Roman" w:hAnsi="Times New Roman" w:cs="Times New Roman"/>
          <w:i/>
          <w:color w:val="000000"/>
          <w:sz w:val="24"/>
          <w:szCs w:val="24"/>
        </w:rPr>
        <w:t>rogramme</w:t>
      </w:r>
      <w:r w:rsidR="006D2427" w:rsidRPr="00912AC0">
        <w:rPr>
          <w:rFonts w:ascii="Times New Roman" w:hAnsi="Times New Roman" w:cs="Times New Roman"/>
          <w:i/>
          <w:color w:val="000000"/>
          <w:sz w:val="24"/>
          <w:szCs w:val="24"/>
        </w:rPr>
        <w:t>(s) concerné(s)</w:t>
      </w:r>
      <w:r w:rsidR="004E777F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2427" w:rsidRPr="00912A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D21C5" w:rsidRPr="00912AC0">
        <w:rPr>
          <w:rFonts w:ascii="Times New Roman" w:hAnsi="Times New Roman" w:cs="Times New Roman"/>
          <w:color w:val="000000"/>
          <w:sz w:val="24"/>
          <w:szCs w:val="24"/>
        </w:rPr>
        <w:t>ndication du</w:t>
      </w:r>
      <w:r w:rsidR="004E777F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 numéro </w:t>
      </w:r>
      <w:r w:rsidR="006D21C5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du ou des programmes concernés par le risque décrit. </w:t>
      </w:r>
    </w:p>
    <w:p w:rsidR="00165044" w:rsidRPr="001007D5" w:rsidRDefault="00165044" w:rsidP="00AE6A57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D5">
        <w:rPr>
          <w:rFonts w:ascii="Times New Roman" w:hAnsi="Times New Roman" w:cs="Times New Roman"/>
          <w:i/>
          <w:color w:val="000000"/>
          <w:sz w:val="24"/>
          <w:szCs w:val="24"/>
        </w:rPr>
        <w:t>Description du risque au sein du ministère</w:t>
      </w:r>
      <w:r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 : libellé </w:t>
      </w:r>
      <w:r w:rsidR="001007D5"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détaillé </w:t>
      </w:r>
      <w:r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du risque </w:t>
      </w:r>
      <w:r w:rsidR="001007D5" w:rsidRPr="001007D5">
        <w:rPr>
          <w:rFonts w:ascii="Times New Roman" w:hAnsi="Times New Roman" w:cs="Times New Roman"/>
          <w:color w:val="000000"/>
          <w:sz w:val="24"/>
          <w:szCs w:val="24"/>
        </w:rPr>
        <w:t>identifié par le ministère.</w:t>
      </w:r>
    </w:p>
    <w:p w:rsidR="001007D5" w:rsidRPr="001007D5" w:rsidRDefault="0054137C" w:rsidP="001007D5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D5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4E777F" w:rsidRPr="001007D5">
        <w:rPr>
          <w:rFonts w:ascii="Times New Roman" w:hAnsi="Times New Roman" w:cs="Times New Roman"/>
          <w:i/>
          <w:color w:val="000000"/>
          <w:sz w:val="24"/>
          <w:szCs w:val="24"/>
        </w:rPr>
        <w:t>isque</w:t>
      </w:r>
      <w:r w:rsidRPr="001007D5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4E777F" w:rsidRPr="00100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budgétaire</w:t>
      </w:r>
      <w:r w:rsidRPr="001007D5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4E777F" w:rsidRPr="001007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32387" w:rsidRPr="001007D5">
        <w:rPr>
          <w:rFonts w:ascii="Times New Roman" w:hAnsi="Times New Roman" w:cs="Times New Roman"/>
          <w:i/>
          <w:color w:val="000000"/>
          <w:sz w:val="24"/>
          <w:szCs w:val="24"/>
        </w:rPr>
        <w:t>interministériels</w:t>
      </w:r>
      <w:r w:rsidR="00EA43B1" w:rsidRPr="001007D5">
        <w:rPr>
          <w:rFonts w:ascii="Times New Roman" w:hAnsi="Times New Roman" w:cs="Times New Roman"/>
          <w:color w:val="000000"/>
          <w:sz w:val="24"/>
          <w:szCs w:val="24"/>
        </w:rPr>
        <w:t> : risque</w:t>
      </w:r>
      <w:r w:rsidR="001007D5" w:rsidRPr="001007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A43B1"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 budgétaire</w:t>
      </w:r>
      <w:r w:rsidR="001007D5" w:rsidRPr="001007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A43B1"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 identifié</w:t>
      </w:r>
      <w:r w:rsidR="001007D5" w:rsidRPr="001007D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D21C5" w:rsidRPr="001007D5">
        <w:rPr>
          <w:rFonts w:ascii="Times New Roman" w:hAnsi="Times New Roman" w:cs="Times New Roman"/>
          <w:color w:val="000000"/>
          <w:sz w:val="24"/>
          <w:szCs w:val="24"/>
        </w:rPr>
        <w:t xml:space="preserve"> au niveau interministériel</w:t>
      </w:r>
      <w:r w:rsidR="00B21D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21DE5">
        <w:rPr>
          <w:rFonts w:ascii="Times New Roman" w:hAnsi="Times New Roman" w:cs="Times New Roman"/>
          <w:color w:val="000000"/>
          <w:sz w:val="24"/>
          <w:szCs w:val="24"/>
        </w:rPr>
        <w:t>prérempli</w:t>
      </w:r>
      <w:proofErr w:type="spellEnd"/>
      <w:r w:rsidR="00B21D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43B1" w:rsidRPr="001007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7D5" w:rsidRDefault="00EA43B1" w:rsidP="001007D5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7D5" w:rsidRPr="00912AC0">
        <w:rPr>
          <w:rFonts w:ascii="Times New Roman" w:hAnsi="Times New Roman" w:cs="Times New Roman"/>
          <w:i/>
          <w:color w:val="000000"/>
          <w:sz w:val="24"/>
          <w:szCs w:val="24"/>
        </w:rPr>
        <w:t>Domaine de risque</w:t>
      </w:r>
      <w:r w:rsidR="001007D5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 : domaine auquel le risque identifié se rattache </w:t>
      </w:r>
      <w:r w:rsidR="00B21DE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21DE5">
        <w:rPr>
          <w:rFonts w:ascii="Times New Roman" w:hAnsi="Times New Roman" w:cs="Times New Roman"/>
          <w:color w:val="000000"/>
          <w:sz w:val="24"/>
          <w:szCs w:val="24"/>
        </w:rPr>
        <w:t>prérempli</w:t>
      </w:r>
      <w:proofErr w:type="spellEnd"/>
      <w:r w:rsidR="00B21DE5">
        <w:rPr>
          <w:rFonts w:ascii="Times New Roman" w:hAnsi="Times New Roman" w:cs="Times New Roman"/>
          <w:color w:val="000000"/>
          <w:sz w:val="24"/>
          <w:szCs w:val="24"/>
        </w:rPr>
        <w:t xml:space="preserve">, sans changement. </w:t>
      </w:r>
      <w:r w:rsidR="001007D5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Pour mémoire, la liste des domaines </w:t>
      </w:r>
      <w:r w:rsidR="001007D5">
        <w:rPr>
          <w:rFonts w:ascii="Times New Roman" w:hAnsi="Times New Roman" w:cs="Times New Roman"/>
          <w:color w:val="000000"/>
          <w:sz w:val="24"/>
          <w:szCs w:val="24"/>
        </w:rPr>
        <w:t>de risque</w:t>
      </w:r>
      <w:r w:rsidR="001007D5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 figure en marge du tableau de recensement</w:t>
      </w:r>
      <w:r w:rsidR="00B21DE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07D5" w:rsidRPr="00912A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43B1" w:rsidRPr="006D2427" w:rsidRDefault="00EA43B1" w:rsidP="001007D5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780" w:rsidRPr="006A0BD3" w:rsidRDefault="00BE0780" w:rsidP="00BE0780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A0BD3">
        <w:rPr>
          <w:rFonts w:ascii="Times New Roman" w:hAnsi="Times New Roman" w:cs="Times New Roman"/>
          <w:color w:val="000000"/>
          <w:sz w:val="20"/>
          <w:szCs w:val="20"/>
        </w:rPr>
        <w:t xml:space="preserve">Exemple : </w:t>
      </w:r>
    </w:p>
    <w:p w:rsidR="00F41269" w:rsidRDefault="00BE0780" w:rsidP="00F4126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993" w:hanging="426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044">
        <w:rPr>
          <w:rFonts w:ascii="Times New Roman" w:hAnsi="Times New Roman" w:cs="Times New Roman"/>
          <w:color w:val="000000"/>
          <w:sz w:val="20"/>
          <w:szCs w:val="20"/>
        </w:rPr>
        <w:t xml:space="preserve">Risque ministériel : </w:t>
      </w:r>
      <w:r w:rsidR="00022172" w:rsidRPr="00165044">
        <w:rPr>
          <w:rFonts w:ascii="Times New Roman" w:hAnsi="Times New Roman" w:cs="Times New Roman"/>
          <w:color w:val="000000"/>
          <w:sz w:val="20"/>
          <w:szCs w:val="20"/>
        </w:rPr>
        <w:t>Description de la dépense de guichet considérée comme à risque par le ministère.</w:t>
      </w:r>
    </w:p>
    <w:p w:rsidR="00F41269" w:rsidRDefault="00165044" w:rsidP="00F4126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1269">
        <w:rPr>
          <w:rFonts w:ascii="Times New Roman" w:hAnsi="Times New Roman" w:cs="Times New Roman"/>
          <w:color w:val="000000"/>
          <w:sz w:val="20"/>
          <w:szCs w:val="20"/>
        </w:rPr>
        <w:t xml:space="preserve">Risque </w:t>
      </w:r>
      <w:r w:rsidR="00E32387" w:rsidRPr="00F41269">
        <w:rPr>
          <w:rFonts w:ascii="Times New Roman" w:hAnsi="Times New Roman" w:cs="Times New Roman"/>
          <w:color w:val="000000"/>
          <w:sz w:val="20"/>
          <w:szCs w:val="20"/>
        </w:rPr>
        <w:t>interministériel</w:t>
      </w:r>
      <w:r w:rsidRPr="00F41269">
        <w:rPr>
          <w:rFonts w:ascii="Times New Roman" w:hAnsi="Times New Roman" w:cs="Times New Roman"/>
          <w:color w:val="000000"/>
          <w:sz w:val="20"/>
          <w:szCs w:val="20"/>
        </w:rPr>
        <w:t> : Défaut d’identification des dépenses de guichet</w:t>
      </w:r>
      <w:r w:rsidR="00F41269" w:rsidRPr="00F4126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022172" w:rsidRPr="00322391" w:rsidRDefault="00F41269" w:rsidP="00575F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1560" w:firstLine="918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391">
        <w:rPr>
          <w:rFonts w:ascii="Times New Roman" w:hAnsi="Times New Roman" w:cs="Times New Roman"/>
          <w:color w:val="000000"/>
          <w:sz w:val="20"/>
          <w:szCs w:val="20"/>
        </w:rPr>
        <w:t>Domaine de risque 2: Budgétisation et programmation HT2</w:t>
      </w:r>
    </w:p>
    <w:p w:rsidR="00EA43B1" w:rsidRPr="00EA43B1" w:rsidRDefault="0054137C" w:rsidP="00EA43B1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4E777F" w:rsidRPr="0054137C">
        <w:rPr>
          <w:rFonts w:ascii="Times New Roman" w:hAnsi="Times New Roman" w:cs="Times New Roman"/>
          <w:i/>
          <w:color w:val="000000"/>
          <w:sz w:val="24"/>
          <w:szCs w:val="24"/>
        </w:rPr>
        <w:t>bjectif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(s)</w:t>
      </w:r>
      <w:r w:rsidR="004E777F" w:rsidRPr="00541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CIB concerné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(s)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> : indi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>cation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>de l’objectif de CIB compromis par le risque exprimé (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>soutenabilité budgétaire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 xml:space="preserve"> qualité de la comptabilité budgétaire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 xml:space="preserve"> ou les deux).</w:t>
      </w:r>
    </w:p>
    <w:p w:rsidR="00E32387" w:rsidRDefault="0054137C" w:rsidP="00E32387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7C">
        <w:rPr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4E777F" w:rsidRPr="0054137C">
        <w:rPr>
          <w:rFonts w:ascii="Times New Roman" w:hAnsi="Times New Roman" w:cs="Times New Roman"/>
          <w:i/>
          <w:color w:val="000000"/>
          <w:sz w:val="24"/>
          <w:szCs w:val="24"/>
        </w:rPr>
        <w:t>rigine du risque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 xml:space="preserve">indication de 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 xml:space="preserve">l’origine </w:t>
      </w:r>
      <w:r w:rsidR="004E777F" w:rsidRPr="00176685">
        <w:rPr>
          <w:rFonts w:ascii="Times New Roman" w:hAnsi="Times New Roman" w:cs="Times New Roman"/>
          <w:i/>
          <w:color w:val="000000"/>
          <w:sz w:val="24"/>
          <w:szCs w:val="24"/>
        </w:rPr>
        <w:t>exogène</w:t>
      </w:r>
      <w:r w:rsidR="004E777F" w:rsidRPr="00176685">
        <w:rPr>
          <w:rFonts w:ascii="Times New Roman" w:hAnsi="Times New Roman" w:cs="Times New Roman"/>
          <w:color w:val="000000"/>
          <w:sz w:val="24"/>
          <w:szCs w:val="24"/>
        </w:rPr>
        <w:t xml:space="preserve"> (cause extérieure au programme) ou </w:t>
      </w:r>
      <w:r w:rsidR="004E777F">
        <w:rPr>
          <w:rFonts w:ascii="Times New Roman" w:hAnsi="Times New Roman" w:cs="Times New Roman"/>
          <w:i/>
          <w:color w:val="000000"/>
          <w:sz w:val="24"/>
          <w:szCs w:val="24"/>
        </w:rPr>
        <w:t>endogène</w:t>
      </w:r>
      <w:r w:rsidR="007F2B40" w:rsidRPr="007F2B40">
        <w:rPr>
          <w:rFonts w:ascii="Times New Roman" w:hAnsi="Times New Roman" w:cs="Times New Roman"/>
          <w:color w:val="000000"/>
          <w:sz w:val="24"/>
          <w:szCs w:val="24"/>
        </w:rPr>
        <w:t xml:space="preserve"> du risque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391" w:rsidRDefault="00322391" w:rsidP="00322391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387" w:rsidRPr="001007D5" w:rsidRDefault="005B6875" w:rsidP="00AE6A57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7D5">
        <w:rPr>
          <w:rFonts w:ascii="Times New Roman" w:hAnsi="Times New Roman" w:cs="Times New Roman"/>
          <w:b/>
          <w:color w:val="000000"/>
          <w:sz w:val="24"/>
          <w:szCs w:val="24"/>
        </w:rPr>
        <w:t>Précisions</w:t>
      </w:r>
      <w:r w:rsidR="00E32387" w:rsidRPr="001007D5"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</w:p>
    <w:p w:rsidR="00E32387" w:rsidRDefault="005B6875" w:rsidP="00575F7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hanging="15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E32387">
        <w:rPr>
          <w:rFonts w:ascii="Times New Roman" w:hAnsi="Times New Roman" w:cs="Times New Roman"/>
          <w:color w:val="000000"/>
          <w:sz w:val="24"/>
          <w:szCs w:val="24"/>
        </w:rPr>
        <w:t xml:space="preserve"> le risque interministériel n’est pas identifié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dans la cartographie </w:t>
      </w:r>
      <w:r w:rsidR="00B21DE5">
        <w:rPr>
          <w:rFonts w:ascii="Times New Roman" w:hAnsi="Times New Roman" w:cs="Times New Roman"/>
          <w:color w:val="000000"/>
          <w:sz w:val="24"/>
          <w:szCs w:val="24"/>
        </w:rPr>
        <w:t>ministérielle,</w:t>
      </w:r>
      <w:r w:rsidR="00E32387">
        <w:rPr>
          <w:rFonts w:ascii="Times New Roman" w:hAnsi="Times New Roman" w:cs="Times New Roman"/>
          <w:color w:val="000000"/>
          <w:sz w:val="24"/>
          <w:szCs w:val="24"/>
        </w:rPr>
        <w:t xml:space="preserve"> le ministère est invité </w:t>
      </w:r>
      <w:r w:rsidR="00633F4D">
        <w:rPr>
          <w:rFonts w:ascii="Times New Roman" w:hAnsi="Times New Roman" w:cs="Times New Roman"/>
          <w:color w:val="000000"/>
          <w:sz w:val="24"/>
          <w:szCs w:val="24"/>
        </w:rPr>
        <w:t xml:space="preserve">à le coter si possible, </w:t>
      </w:r>
      <w:bookmarkStart w:id="0" w:name="_GoBack"/>
      <w:bookmarkEnd w:id="0"/>
      <w:r w:rsidR="00B21DE5">
        <w:rPr>
          <w:rFonts w:ascii="Times New Roman" w:hAnsi="Times New Roman" w:cs="Times New Roman"/>
          <w:color w:val="000000"/>
          <w:sz w:val="24"/>
          <w:szCs w:val="24"/>
        </w:rPr>
        <w:t xml:space="preserve">ainsi que </w:t>
      </w:r>
      <w:r w:rsidR="00E32387">
        <w:rPr>
          <w:rFonts w:ascii="Times New Roman" w:hAnsi="Times New Roman" w:cs="Times New Roman"/>
          <w:color w:val="000000"/>
          <w:sz w:val="24"/>
          <w:szCs w:val="24"/>
        </w:rPr>
        <w:t xml:space="preserve">son dispositif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maîtrise. </w:t>
      </w:r>
    </w:p>
    <w:p w:rsidR="005B6875" w:rsidRDefault="00E32387" w:rsidP="00575F7A">
      <w:pPr>
        <w:pStyle w:val="Paragraphedeliste"/>
        <w:autoSpaceDE w:val="0"/>
        <w:autoSpaceDN w:val="0"/>
        <w:adjustRightInd w:val="0"/>
        <w:spacing w:before="120" w:after="12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6875">
        <w:rPr>
          <w:rFonts w:ascii="Times New Roman" w:hAnsi="Times New Roman" w:cs="Times New Roman"/>
          <w:color w:val="000000"/>
          <w:sz w:val="24"/>
          <w:szCs w:val="24"/>
        </w:rPr>
        <w:t xml:space="preserve">Plusieurs risques figurant dans les cartographies ministérielles peuvent être rattachés à un même risque interministériel.  </w:t>
      </w:r>
    </w:p>
    <w:p w:rsidR="001007D5" w:rsidRDefault="00322391" w:rsidP="00322391">
      <w:pPr>
        <w:pStyle w:val="Paragraphedeliste"/>
        <w:autoSpaceDE w:val="0"/>
        <w:autoSpaceDN w:val="0"/>
        <w:adjustRightInd w:val="0"/>
        <w:spacing w:before="120" w:after="120" w:line="240" w:lineRule="auto"/>
        <w:ind w:left="709" w:hanging="153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Chaque ministère est invité à indiquer les autres risques budgétaires qu’il aura considéré comme majeurs à l’issue de la mise à jour de sa cartographie.</w:t>
      </w:r>
    </w:p>
    <w:p w:rsidR="00CC2663" w:rsidRPr="00CC2663" w:rsidRDefault="00BA7209" w:rsidP="00CC26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26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2) </w:t>
      </w:r>
      <w:r w:rsidR="00A96D63" w:rsidRPr="00CC26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Maîtrise du risque </w:t>
      </w:r>
    </w:p>
    <w:p w:rsidR="00A96D63" w:rsidRDefault="0054137C" w:rsidP="00A96D63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7C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4E777F" w:rsidRPr="0054137C" w:rsidDel="00665C9D">
        <w:rPr>
          <w:rFonts w:ascii="Times New Roman" w:hAnsi="Times New Roman" w:cs="Times New Roman"/>
          <w:i/>
          <w:color w:val="000000"/>
          <w:sz w:val="24"/>
          <w:szCs w:val="24"/>
        </w:rPr>
        <w:t>iveau de maîtrise du risque</w:t>
      </w:r>
      <w:r w:rsidR="00A96D63" w:rsidRPr="005413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(cotation 2017)</w:t>
      </w:r>
      <w:r w:rsidR="00A96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77F" w:rsidRPr="00B95BF7" w:rsidDel="00665C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96D63">
        <w:rPr>
          <w:rFonts w:ascii="Times New Roman" w:hAnsi="Times New Roman" w:cs="Times New Roman"/>
          <w:color w:val="000000"/>
          <w:sz w:val="24"/>
          <w:szCs w:val="24"/>
        </w:rPr>
        <w:t>description</w:t>
      </w:r>
      <w:r w:rsidR="004E777F" w:rsidRPr="00B95BF7" w:rsidDel="00665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D63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4E777F" w:rsidRPr="00B95BF7" w:rsidDel="00665C9D">
        <w:rPr>
          <w:rFonts w:ascii="Times New Roman" w:hAnsi="Times New Roman" w:cs="Times New Roman"/>
          <w:color w:val="000000"/>
          <w:sz w:val="24"/>
          <w:szCs w:val="24"/>
        </w:rPr>
        <w:t xml:space="preserve"> niveau estimé selon </w:t>
      </w:r>
      <w:r w:rsidR="004E777F" w:rsidRPr="00322391" w:rsidDel="00665C9D">
        <w:rPr>
          <w:rFonts w:ascii="Times New Roman" w:hAnsi="Times New Roman" w:cs="Times New Roman"/>
          <w:color w:val="000000"/>
          <w:sz w:val="24"/>
          <w:szCs w:val="24"/>
        </w:rPr>
        <w:t xml:space="preserve">l’échelle </w:t>
      </w:r>
      <w:r w:rsidR="007F2B40" w:rsidRPr="00322391">
        <w:rPr>
          <w:rFonts w:ascii="Times New Roman" w:hAnsi="Times New Roman" w:cs="Times New Roman"/>
          <w:color w:val="000000"/>
          <w:sz w:val="24"/>
          <w:szCs w:val="24"/>
        </w:rPr>
        <w:t>de cotation</w:t>
      </w:r>
      <w:r w:rsidR="004E777F" w:rsidRPr="00322391" w:rsidDel="00665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B40" w:rsidRPr="00322391">
        <w:rPr>
          <w:rFonts w:ascii="Times New Roman" w:hAnsi="Times New Roman" w:cs="Times New Roman"/>
          <w:color w:val="000000"/>
          <w:sz w:val="24"/>
          <w:szCs w:val="24"/>
        </w:rPr>
        <w:t>ci-dessous</w:t>
      </w:r>
      <w:r w:rsidR="00A96D63" w:rsidRPr="00322391">
        <w:rPr>
          <w:rFonts w:ascii="Times New Roman" w:hAnsi="Times New Roman" w:cs="Times New Roman"/>
          <w:color w:val="000000"/>
          <w:sz w:val="24"/>
          <w:szCs w:val="24"/>
        </w:rPr>
        <w:t>, tel qu’il avait été exprimé lors de la campagne de recensement précédente</w:t>
      </w:r>
      <w:r w:rsidR="00A96D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6D63" w:rsidRDefault="00A96D63" w:rsidP="00A96D63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7C">
        <w:rPr>
          <w:rFonts w:ascii="Times New Roman" w:hAnsi="Times New Roman" w:cs="Times New Roman"/>
          <w:i/>
          <w:color w:val="000000"/>
          <w:sz w:val="24"/>
          <w:szCs w:val="24"/>
        </w:rPr>
        <w:t>Actions de maîtrise du risque complémentaires réalisées en 2018</w:t>
      </w:r>
      <w:r w:rsidRPr="00A96D63">
        <w:rPr>
          <w:rFonts w:ascii="Times New Roman" w:hAnsi="Times New Roman" w:cs="Times New Roman"/>
          <w:color w:val="000000"/>
          <w:sz w:val="24"/>
          <w:szCs w:val="24"/>
        </w:rPr>
        <w:t> : indication des éventuelles mesures de renforcement des dispositifs de maîtrise des risques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 cours de l’année 2018</w:t>
      </w:r>
      <w:r w:rsidRPr="00A96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6D63" w:rsidRDefault="00A96D63" w:rsidP="00A96D63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7C">
        <w:rPr>
          <w:rFonts w:ascii="Times New Roman" w:hAnsi="Times New Roman" w:cs="Times New Roman"/>
          <w:i/>
          <w:color w:val="000000"/>
          <w:sz w:val="24"/>
          <w:szCs w:val="24"/>
        </w:rPr>
        <w:t>Niveau de maîtrise du risque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indication à l’aide de la même échelle de cotation </w:t>
      </w:r>
      <w:r w:rsidR="002A791F">
        <w:rPr>
          <w:rFonts w:ascii="Times New Roman" w:hAnsi="Times New Roman" w:cs="Times New Roman"/>
          <w:color w:val="000000"/>
          <w:sz w:val="24"/>
          <w:szCs w:val="24"/>
        </w:rPr>
        <w:t xml:space="preserve">présentée ci-dessous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 niveau de maîtrise des risques compte tenu des nouvelles mesures de maîtrise prise en cours d’année. </w:t>
      </w:r>
    </w:p>
    <w:p w:rsidR="00A96D63" w:rsidRDefault="00A96D63" w:rsidP="00A96D63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37C">
        <w:rPr>
          <w:rFonts w:ascii="Times New Roman" w:hAnsi="Times New Roman" w:cs="Times New Roman"/>
          <w:i/>
          <w:color w:val="000000"/>
          <w:sz w:val="24"/>
          <w:szCs w:val="24"/>
        </w:rPr>
        <w:t>Actions de maîtrise des risques complémentaires envisagées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indication des orientations ou projets en cours </w:t>
      </w:r>
      <w:r w:rsidR="00FA4554">
        <w:rPr>
          <w:rFonts w:ascii="Times New Roman" w:hAnsi="Times New Roman" w:cs="Times New Roman"/>
          <w:color w:val="000000"/>
          <w:sz w:val="24"/>
          <w:szCs w:val="24"/>
        </w:rPr>
        <w:t xml:space="preserve">pour approfondir le dispositif de maîtrise associé au risque exprimé. </w:t>
      </w:r>
    </w:p>
    <w:p w:rsidR="00CC2663" w:rsidRDefault="00CC2663" w:rsidP="00CC2663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5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993"/>
        <w:gridCol w:w="7479"/>
      </w:tblGrid>
      <w:tr w:rsidR="002A791F" w:rsidRPr="005B4007" w:rsidTr="00A019B6">
        <w:trPr>
          <w:cantSplit/>
          <w:trHeight w:hRule="exact" w:val="1009"/>
          <w:jc w:val="center"/>
        </w:trPr>
        <w:tc>
          <w:tcPr>
            <w:tcW w:w="1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91F" w:rsidRPr="002A791F" w:rsidRDefault="002A791F" w:rsidP="002E3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Niveau de maîtrise du risque</w:t>
            </w:r>
          </w:p>
        </w:tc>
        <w:tc>
          <w:tcPr>
            <w:tcW w:w="993" w:type="dxa"/>
            <w:vAlign w:val="center"/>
          </w:tcPr>
          <w:p w:rsidR="002A791F" w:rsidRPr="002A791F" w:rsidRDefault="002A791F" w:rsidP="002E3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Cotation</w:t>
            </w:r>
          </w:p>
        </w:tc>
        <w:tc>
          <w:tcPr>
            <w:tcW w:w="7479" w:type="dxa"/>
            <w:vAlign w:val="center"/>
          </w:tcPr>
          <w:p w:rsidR="002A791F" w:rsidRPr="002A791F" w:rsidRDefault="002A791F" w:rsidP="002E3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2A791F" w:rsidRPr="005B4007" w:rsidTr="00A019B6">
        <w:trPr>
          <w:cantSplit/>
          <w:trHeight w:hRule="exact" w:val="570"/>
          <w:jc w:val="center"/>
        </w:trPr>
        <w:tc>
          <w:tcPr>
            <w:tcW w:w="118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91F" w:rsidRPr="002A791F" w:rsidRDefault="002A791F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Insuffisant</w:t>
            </w:r>
          </w:p>
        </w:tc>
        <w:tc>
          <w:tcPr>
            <w:tcW w:w="993" w:type="dxa"/>
          </w:tcPr>
          <w:p w:rsidR="002A791F" w:rsidRPr="002A791F" w:rsidRDefault="002A791F" w:rsidP="002E3036">
            <w:pPr>
              <w:spacing w:before="120" w:after="12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79" w:type="dxa"/>
            <w:vAlign w:val="center"/>
          </w:tcPr>
          <w:p w:rsidR="002A791F" w:rsidRPr="002A791F" w:rsidRDefault="002A791F" w:rsidP="002E3036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Les dispositifs de maîtrise du risque sont inexistants, très limités ou inefficaces</w:t>
            </w:r>
            <w:r w:rsidR="00943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91F" w:rsidRPr="005B4007" w:rsidTr="00A019B6">
        <w:trPr>
          <w:cantSplit/>
          <w:trHeight w:hRule="exact" w:val="719"/>
          <w:jc w:val="center"/>
        </w:trPr>
        <w:tc>
          <w:tcPr>
            <w:tcW w:w="118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91F" w:rsidRPr="002A791F" w:rsidRDefault="002A791F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Moyen</w:t>
            </w:r>
          </w:p>
        </w:tc>
        <w:tc>
          <w:tcPr>
            <w:tcW w:w="993" w:type="dxa"/>
          </w:tcPr>
          <w:p w:rsidR="002A791F" w:rsidRPr="002A791F" w:rsidRDefault="002A791F" w:rsidP="002E3036">
            <w:pPr>
              <w:spacing w:before="120" w:after="12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9" w:type="dxa"/>
            <w:vAlign w:val="center"/>
          </w:tcPr>
          <w:p w:rsidR="002A791F" w:rsidRPr="002A791F" w:rsidRDefault="002A791F" w:rsidP="002E3036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Des dispositifs de maîtrise du risque existent mais sont insuffisants, peu efficaces et/ou mal mis en œuvre</w:t>
            </w:r>
            <w:r w:rsidR="00943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91F" w:rsidRPr="005B4007" w:rsidTr="00A019B6">
        <w:trPr>
          <w:cantSplit/>
          <w:trHeight w:hRule="exact" w:val="680"/>
          <w:jc w:val="center"/>
        </w:trPr>
        <w:tc>
          <w:tcPr>
            <w:tcW w:w="118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91F" w:rsidRPr="002A791F" w:rsidRDefault="002A791F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Fort</w:t>
            </w:r>
          </w:p>
        </w:tc>
        <w:tc>
          <w:tcPr>
            <w:tcW w:w="993" w:type="dxa"/>
          </w:tcPr>
          <w:p w:rsidR="002A791F" w:rsidRPr="002A791F" w:rsidRDefault="002A791F" w:rsidP="002E3036">
            <w:pPr>
              <w:spacing w:before="120" w:after="12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9" w:type="dxa"/>
            <w:vAlign w:val="center"/>
          </w:tcPr>
          <w:p w:rsidR="002A791F" w:rsidRPr="002A791F" w:rsidRDefault="002A791F" w:rsidP="002A791F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Des dispositifs de maîtrise du risque sont en place et leur efficacité peut être prouvée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ais ils peuv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 être complétés ou améliorés</w:t>
            </w:r>
            <w:r w:rsidR="00943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91F" w:rsidRPr="005B4007" w:rsidTr="00A019B6">
        <w:trPr>
          <w:cantSplit/>
          <w:trHeight w:hRule="exact" w:val="680"/>
          <w:jc w:val="center"/>
        </w:trPr>
        <w:tc>
          <w:tcPr>
            <w:tcW w:w="1182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791F" w:rsidRPr="002A791F" w:rsidRDefault="002A791F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Très fort</w:t>
            </w:r>
          </w:p>
        </w:tc>
        <w:tc>
          <w:tcPr>
            <w:tcW w:w="993" w:type="dxa"/>
          </w:tcPr>
          <w:p w:rsidR="002A791F" w:rsidRPr="002A791F" w:rsidRDefault="002A791F" w:rsidP="002E3036">
            <w:pPr>
              <w:spacing w:before="120" w:after="120"/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9" w:type="dxa"/>
            <w:vAlign w:val="center"/>
          </w:tcPr>
          <w:p w:rsidR="002A791F" w:rsidRPr="002A791F" w:rsidRDefault="002A791F" w:rsidP="002E3036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Des dispositifs de maîtrise du risque sont en place, documentés, testés et considérés comme efficaces et suffisants</w:t>
            </w:r>
            <w:r w:rsidR="00943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C2663" w:rsidRDefault="00CC2663" w:rsidP="00CC26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391" w:rsidRDefault="00322391" w:rsidP="00CC26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2663" w:rsidRPr="00CC2663" w:rsidRDefault="00CC2663" w:rsidP="00CC26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Cotation des risques </w:t>
      </w:r>
    </w:p>
    <w:p w:rsidR="009E1427" w:rsidRDefault="009E1427" w:rsidP="00BA7209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le</w:t>
      </w:r>
      <w:r w:rsidR="00CC2663">
        <w:rPr>
          <w:rFonts w:ascii="Times New Roman" w:hAnsi="Times New Roman" w:cs="Times New Roman"/>
          <w:color w:val="000000"/>
          <w:sz w:val="24"/>
          <w:szCs w:val="24"/>
        </w:rPr>
        <w:t xml:space="preserve"> cadre de l’enri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chissement du recensement des risques budgétaires ministériels, la nouvelle maquette proposée inclut deux colonnes de cotations des risques. Une colonne destinée à coter le niveau de risque inhérent et une colonne pour la cotation du risque résiduel. </w:t>
      </w:r>
    </w:p>
    <w:p w:rsidR="00CC2663" w:rsidRDefault="009E1427" w:rsidP="00BA7209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Pour chaque risque décrit, il est demandé </w:t>
      </w:r>
      <w:r w:rsidR="00322391">
        <w:rPr>
          <w:rFonts w:ascii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ministère d’indiquer</w:t>
      </w:r>
      <w:r w:rsidR="00D16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cotation </w:t>
      </w:r>
      <w:r w:rsidR="00D16B5A"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risque résiduel</w:t>
      </w:r>
      <w:r w:rsidR="00D16B5A">
        <w:rPr>
          <w:rFonts w:ascii="Times New Roman" w:hAnsi="Times New Roman" w:cs="Times New Roman"/>
          <w:color w:val="000000"/>
          <w:sz w:val="24"/>
          <w:szCs w:val="24"/>
        </w:rPr>
        <w:t xml:space="preserve"> et,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manière facultative, </w:t>
      </w:r>
      <w:r w:rsidR="00D16B5A"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risque inhérent. </w:t>
      </w:r>
    </w:p>
    <w:p w:rsidR="002368FB" w:rsidRDefault="009E1427" w:rsidP="00BA7209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Afin de rendre possible l’agrégation des données, il est demandé à chaque ministère d’utiliser l’échelle de cotation suivante pour la transmission des informations. La même échelle sera utilisée pour la cotation des risques inhérent et résiduel</w:t>
      </w:r>
      <w:r w:rsidR="00D16B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DE5" w:rsidRDefault="00B21D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368FB" w:rsidRDefault="002368FB" w:rsidP="00BA7209">
      <w:pPr>
        <w:pStyle w:val="Paragraphedeliste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755"/>
        <w:gridCol w:w="7373"/>
      </w:tblGrid>
      <w:tr w:rsidR="00FA4554" w:rsidRPr="00C503B8" w:rsidTr="002368FB">
        <w:trPr>
          <w:cantSplit/>
          <w:trHeight w:hRule="exact" w:val="723"/>
          <w:jc w:val="center"/>
        </w:trPr>
        <w:tc>
          <w:tcPr>
            <w:tcW w:w="15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54" w:rsidRPr="002A791F" w:rsidRDefault="00FA4554" w:rsidP="009E14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Niveau de risque </w:t>
            </w:r>
          </w:p>
        </w:tc>
        <w:tc>
          <w:tcPr>
            <w:tcW w:w="755" w:type="dxa"/>
            <w:vAlign w:val="center"/>
          </w:tcPr>
          <w:p w:rsidR="00FA4554" w:rsidRPr="002A791F" w:rsidRDefault="00FA4554" w:rsidP="002E3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Cotation</w:t>
            </w:r>
          </w:p>
        </w:tc>
        <w:tc>
          <w:tcPr>
            <w:tcW w:w="7373" w:type="dxa"/>
            <w:vAlign w:val="center"/>
          </w:tcPr>
          <w:p w:rsidR="00FA4554" w:rsidRPr="002A791F" w:rsidRDefault="00FA4554" w:rsidP="002E30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FA4554" w:rsidRPr="00C503B8" w:rsidTr="002368FB">
        <w:trPr>
          <w:cantSplit/>
          <w:trHeight w:hRule="exact" w:val="680"/>
          <w:jc w:val="center"/>
        </w:trPr>
        <w:tc>
          <w:tcPr>
            <w:tcW w:w="15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54" w:rsidRPr="002A791F" w:rsidRDefault="00FA4554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Très fort </w:t>
            </w:r>
          </w:p>
        </w:tc>
        <w:tc>
          <w:tcPr>
            <w:tcW w:w="755" w:type="dxa"/>
          </w:tcPr>
          <w:p w:rsidR="00FA4554" w:rsidRPr="002A791F" w:rsidRDefault="004115C7" w:rsidP="00D46240">
            <w:pPr>
              <w:spacing w:before="120" w:after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3" w:type="dxa"/>
            <w:vAlign w:val="center"/>
          </w:tcPr>
          <w:p w:rsidR="00FA4554" w:rsidRPr="002A791F" w:rsidRDefault="00D90B64" w:rsidP="00B362FE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362F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2FE">
              <w:rPr>
                <w:rFonts w:ascii="Times New Roman" w:hAnsi="Times New Roman" w:cs="Times New Roman"/>
                <w:sz w:val="20"/>
                <w:szCs w:val="20"/>
              </w:rPr>
              <w:t xml:space="preserve">risque est très fort en 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probabilité </w:t>
            </w:r>
            <w:r w:rsidRPr="00B3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2FE">
              <w:rPr>
                <w:rFonts w:ascii="Times New Roman" w:hAnsi="Times New Roman" w:cs="Times New Roman"/>
                <w:sz w:val="20"/>
                <w:szCs w:val="20"/>
              </w:rPr>
              <w:t>en impact.</w:t>
            </w:r>
          </w:p>
        </w:tc>
      </w:tr>
      <w:tr w:rsidR="00FA4554" w:rsidRPr="00C503B8" w:rsidTr="002368FB">
        <w:trPr>
          <w:cantSplit/>
          <w:trHeight w:hRule="exact" w:val="680"/>
          <w:jc w:val="center"/>
        </w:trPr>
        <w:tc>
          <w:tcPr>
            <w:tcW w:w="15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54" w:rsidRPr="002A791F" w:rsidRDefault="00FA4554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Fort</w:t>
            </w:r>
          </w:p>
        </w:tc>
        <w:tc>
          <w:tcPr>
            <w:tcW w:w="755" w:type="dxa"/>
          </w:tcPr>
          <w:p w:rsidR="00FA4554" w:rsidRPr="002A791F" w:rsidRDefault="004115C7" w:rsidP="00D46240">
            <w:pPr>
              <w:spacing w:before="120" w:after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3" w:type="dxa"/>
            <w:vAlign w:val="center"/>
          </w:tcPr>
          <w:p w:rsidR="00FA4554" w:rsidRPr="002A791F" w:rsidRDefault="00C4086C" w:rsidP="00B362FE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Le risque </w:t>
            </w:r>
            <w:r w:rsidR="00B362FE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 fort </w:t>
            </w:r>
            <w:r w:rsidR="002C32C1"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ou très fort </w:t>
            </w: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en impact </w:t>
            </w:r>
            <w:r w:rsidR="00B362FE">
              <w:rPr>
                <w:rFonts w:ascii="Times New Roman" w:hAnsi="Times New Roman" w:cs="Times New Roman"/>
                <w:sz w:val="20"/>
                <w:szCs w:val="20"/>
              </w:rPr>
              <w:t>et en probabilité.</w:t>
            </w:r>
          </w:p>
        </w:tc>
      </w:tr>
      <w:tr w:rsidR="00FA4554" w:rsidRPr="00C503B8" w:rsidTr="002368FB">
        <w:trPr>
          <w:cantSplit/>
          <w:trHeight w:hRule="exact" w:val="680"/>
          <w:jc w:val="center"/>
        </w:trPr>
        <w:tc>
          <w:tcPr>
            <w:tcW w:w="15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54" w:rsidRPr="002A791F" w:rsidRDefault="00FA4554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Modéré</w:t>
            </w:r>
          </w:p>
        </w:tc>
        <w:tc>
          <w:tcPr>
            <w:tcW w:w="755" w:type="dxa"/>
          </w:tcPr>
          <w:p w:rsidR="00FA4554" w:rsidRPr="002A791F" w:rsidRDefault="004115C7" w:rsidP="00D46240">
            <w:pPr>
              <w:spacing w:before="120" w:after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3" w:type="dxa"/>
            <w:vAlign w:val="center"/>
          </w:tcPr>
          <w:p w:rsidR="00FA4554" w:rsidRPr="002A791F" w:rsidRDefault="00CC2663" w:rsidP="002C32C1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C32C1"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e risque peut survenir et se traduire par un impact potentiellement significatif. </w:t>
            </w:r>
          </w:p>
        </w:tc>
      </w:tr>
      <w:tr w:rsidR="00FA4554" w:rsidRPr="00C503B8" w:rsidTr="002368FB">
        <w:trPr>
          <w:cantSplit/>
          <w:trHeight w:hRule="exact" w:val="682"/>
          <w:jc w:val="center"/>
        </w:trPr>
        <w:tc>
          <w:tcPr>
            <w:tcW w:w="15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554" w:rsidRPr="002A791F" w:rsidRDefault="00FA4554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Faible </w:t>
            </w:r>
          </w:p>
        </w:tc>
        <w:tc>
          <w:tcPr>
            <w:tcW w:w="755" w:type="dxa"/>
          </w:tcPr>
          <w:p w:rsidR="00FA4554" w:rsidRPr="002A791F" w:rsidRDefault="004115C7" w:rsidP="00D46240">
            <w:pPr>
              <w:spacing w:before="120" w:after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3" w:type="dxa"/>
            <w:vAlign w:val="center"/>
          </w:tcPr>
          <w:p w:rsidR="00FA4554" w:rsidRPr="002A791F" w:rsidRDefault="002C32C1" w:rsidP="00D16B5A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Le risque </w:t>
            </w:r>
            <w:r w:rsidR="00D16B5A">
              <w:rPr>
                <w:rFonts w:ascii="Times New Roman" w:hAnsi="Times New Roman" w:cs="Times New Roman"/>
                <w:sz w:val="20"/>
                <w:szCs w:val="20"/>
              </w:rPr>
              <w:t xml:space="preserve">est faible par son intensité ou son impact. </w:t>
            </w:r>
            <w:r w:rsidR="002A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554" w:rsidRPr="00C503B8" w:rsidTr="002368FB">
        <w:trPr>
          <w:cantSplit/>
          <w:trHeight w:hRule="exact" w:val="706"/>
          <w:jc w:val="center"/>
        </w:trPr>
        <w:tc>
          <w:tcPr>
            <w:tcW w:w="159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4554" w:rsidRPr="002A791F" w:rsidRDefault="00FA4554" w:rsidP="002E3036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Très faible</w:t>
            </w:r>
          </w:p>
        </w:tc>
        <w:tc>
          <w:tcPr>
            <w:tcW w:w="755" w:type="dxa"/>
          </w:tcPr>
          <w:p w:rsidR="004115C7" w:rsidRPr="002A791F" w:rsidRDefault="004115C7" w:rsidP="00D46240">
            <w:pPr>
              <w:spacing w:before="120" w:after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3" w:type="dxa"/>
            <w:vAlign w:val="center"/>
          </w:tcPr>
          <w:p w:rsidR="00FA4554" w:rsidRDefault="002C32C1" w:rsidP="00CC2663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1F">
              <w:rPr>
                <w:rFonts w:ascii="Times New Roman" w:hAnsi="Times New Roman" w:cs="Times New Roman"/>
                <w:sz w:val="20"/>
                <w:szCs w:val="20"/>
              </w:rPr>
              <w:t xml:space="preserve">Le risque est </w:t>
            </w:r>
            <w:r w:rsidR="00CC2663">
              <w:rPr>
                <w:rFonts w:ascii="Times New Roman" w:hAnsi="Times New Roman" w:cs="Times New Roman"/>
                <w:sz w:val="20"/>
                <w:szCs w:val="20"/>
              </w:rPr>
              <w:t xml:space="preserve">faible en impact </w:t>
            </w:r>
            <w:r w:rsidR="00D16B5A">
              <w:rPr>
                <w:rFonts w:ascii="Times New Roman" w:hAnsi="Times New Roman" w:cs="Times New Roman"/>
                <w:sz w:val="20"/>
                <w:szCs w:val="20"/>
              </w:rPr>
              <w:t xml:space="preserve">comme </w:t>
            </w:r>
            <w:r w:rsidR="00CC2663">
              <w:rPr>
                <w:rFonts w:ascii="Times New Roman" w:hAnsi="Times New Roman" w:cs="Times New Roman"/>
                <w:sz w:val="20"/>
                <w:szCs w:val="20"/>
              </w:rPr>
              <w:t>en probabilité</w:t>
            </w:r>
            <w:r w:rsidR="00943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6B5A" w:rsidRPr="002A791F" w:rsidRDefault="00D16B5A" w:rsidP="00CC2663">
            <w:pPr>
              <w:spacing w:before="120" w:after="120"/>
              <w:ind w:left="142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B5A" w:rsidRDefault="00D16B5A" w:rsidP="00FA45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16B5A" w:rsidRDefault="00D16B5A" w:rsidP="00FA45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Grilledutablea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709"/>
        <w:gridCol w:w="708"/>
        <w:gridCol w:w="993"/>
        <w:gridCol w:w="708"/>
        <w:gridCol w:w="709"/>
      </w:tblGrid>
      <w:tr w:rsidR="00B21DE5" w:rsidRPr="00B21DE5" w:rsidTr="00731DFD">
        <w:trPr>
          <w:trHeight w:val="124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tableau ci-contre propose une modélisation de la cotation proposée.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Impact de la réalisation du risque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Très fort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21DE5" w:rsidRPr="00B21DE5" w:rsidTr="00731DFD">
        <w:trPr>
          <w:trHeight w:val="12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21DE5" w:rsidRPr="00B21DE5" w:rsidTr="00731DFD">
        <w:trPr>
          <w:trHeight w:val="12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Modéré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21DE5" w:rsidRPr="00B21DE5" w:rsidTr="00731DFD">
        <w:trPr>
          <w:trHeight w:val="12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21DE5" w:rsidRPr="00B21DE5" w:rsidTr="00731DFD">
        <w:trPr>
          <w:trHeight w:val="477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Très faible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21DE5" w:rsidRPr="00B21DE5" w:rsidTr="00731DFD">
        <w:trPr>
          <w:trHeight w:val="58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Très faible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Modérée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Très forte</w:t>
            </w:r>
          </w:p>
        </w:tc>
      </w:tr>
      <w:tr w:rsidR="00B21DE5" w:rsidRPr="00B21DE5" w:rsidTr="00731DFD">
        <w:trPr>
          <w:trHeight w:val="124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1DE5" w:rsidRPr="00B21DE5" w:rsidRDefault="00B21DE5" w:rsidP="00B21DE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1D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Probabilité de réalisation du risque</w:t>
            </w:r>
          </w:p>
        </w:tc>
      </w:tr>
    </w:tbl>
    <w:p w:rsidR="00B21DE5" w:rsidRDefault="00B21DE5" w:rsidP="00FA45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21DE5" w:rsidRDefault="00B21DE5" w:rsidP="00FA45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46240" w:rsidRDefault="00D46240" w:rsidP="002A79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2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Rappel : </w:t>
      </w:r>
    </w:p>
    <w:p w:rsidR="00D46240" w:rsidRDefault="00D46240" w:rsidP="00D4624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40">
        <w:rPr>
          <w:rFonts w:ascii="Times New Roman" w:hAnsi="Times New Roman" w:cs="Times New Roman"/>
          <w:sz w:val="24"/>
          <w:szCs w:val="24"/>
        </w:rPr>
        <w:t xml:space="preserve">La cotation du risque inhérent mesure l’impact et la probabilité du risque tels qu’ils se produisent spontanément </w:t>
      </w:r>
      <w:r w:rsidRPr="00D46240">
        <w:rPr>
          <w:rFonts w:ascii="Times New Roman" w:hAnsi="Times New Roman" w:cs="Times New Roman"/>
          <w:sz w:val="24"/>
          <w:szCs w:val="24"/>
          <w:u w:val="single"/>
        </w:rPr>
        <w:t>en l’absence de dispositif de maîtrise de risque</w:t>
      </w:r>
      <w:r w:rsidRPr="00D46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240" w:rsidRPr="00D46240" w:rsidRDefault="00D46240" w:rsidP="00D46240">
      <w:pPr>
        <w:pStyle w:val="Paragraphedeliste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663" w:rsidRDefault="00CC2663" w:rsidP="00CC266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663">
        <w:rPr>
          <w:rFonts w:ascii="Times New Roman" w:hAnsi="Times New Roman" w:cs="Times New Roman"/>
          <w:color w:val="000000"/>
          <w:sz w:val="24"/>
          <w:szCs w:val="24"/>
        </w:rPr>
        <w:t xml:space="preserve">Le niveau du risque résiduel résulte de l’appréciation portée par le ministère sur la probabilité de survenance et l’impact de la réalisation du risque </w:t>
      </w:r>
      <w:r w:rsidRPr="00D46240">
        <w:rPr>
          <w:rFonts w:ascii="Times New Roman" w:hAnsi="Times New Roman" w:cs="Times New Roman"/>
          <w:color w:val="000000"/>
          <w:sz w:val="24"/>
          <w:szCs w:val="24"/>
          <w:u w:val="single"/>
        </w:rPr>
        <w:t>compte tenu du dispositif de maîtrise des risques existant</w:t>
      </w:r>
      <w:r w:rsidRPr="00CC26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2663" w:rsidRDefault="00CC2663" w:rsidP="00CC2663">
      <w:pPr>
        <w:pStyle w:val="Paragraphedeliste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663" w:rsidRPr="00176685" w:rsidRDefault="00CC2663" w:rsidP="002A79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663" w:rsidRPr="00176685" w:rsidSect="00A019B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15" w:rsidRDefault="00277D15" w:rsidP="00B75FE7">
      <w:pPr>
        <w:spacing w:after="0" w:line="240" w:lineRule="auto"/>
      </w:pPr>
      <w:r>
        <w:separator/>
      </w:r>
    </w:p>
  </w:endnote>
  <w:endnote w:type="continuationSeparator" w:id="0">
    <w:p w:rsidR="00277D15" w:rsidRDefault="00277D15" w:rsidP="00B7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4462"/>
      <w:docPartObj>
        <w:docPartGallery w:val="Page Numbers (Bottom of Page)"/>
        <w:docPartUnique/>
      </w:docPartObj>
    </w:sdtPr>
    <w:sdtEndPr/>
    <w:sdtContent>
      <w:p w:rsidR="00320617" w:rsidRDefault="0032061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4D">
          <w:rPr>
            <w:noProof/>
          </w:rPr>
          <w:t>1</w:t>
        </w:r>
        <w:r>
          <w:fldChar w:fldCharType="end"/>
        </w:r>
        <w:r>
          <w:t>/</w:t>
        </w:r>
        <w:r w:rsidR="00633F4D">
          <w:fldChar w:fldCharType="begin"/>
        </w:r>
        <w:r w:rsidR="00633F4D">
          <w:instrText xml:space="preserve"> SECTIONPAGES   \* MERGEFORMAT </w:instrText>
        </w:r>
        <w:r w:rsidR="00633F4D">
          <w:fldChar w:fldCharType="separate"/>
        </w:r>
        <w:r w:rsidR="00633F4D">
          <w:rPr>
            <w:noProof/>
          </w:rPr>
          <w:t>3</w:t>
        </w:r>
        <w:r w:rsidR="00633F4D">
          <w:rPr>
            <w:noProof/>
          </w:rPr>
          <w:fldChar w:fldCharType="end"/>
        </w:r>
      </w:p>
    </w:sdtContent>
  </w:sdt>
  <w:p w:rsidR="00320617" w:rsidRDefault="003206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15" w:rsidRDefault="00277D15" w:rsidP="00B75FE7">
      <w:pPr>
        <w:spacing w:after="0" w:line="240" w:lineRule="auto"/>
      </w:pPr>
      <w:r>
        <w:separator/>
      </w:r>
    </w:p>
  </w:footnote>
  <w:footnote w:type="continuationSeparator" w:id="0">
    <w:p w:rsidR="00277D15" w:rsidRDefault="00277D15" w:rsidP="00B7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E0"/>
    <w:multiLevelType w:val="hybridMultilevel"/>
    <w:tmpl w:val="B414D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472"/>
    <w:multiLevelType w:val="hybridMultilevel"/>
    <w:tmpl w:val="8CBA3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90E7B"/>
    <w:multiLevelType w:val="hybridMultilevel"/>
    <w:tmpl w:val="6AEC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5703"/>
    <w:multiLevelType w:val="hybridMultilevel"/>
    <w:tmpl w:val="A510C06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6299C"/>
    <w:multiLevelType w:val="hybridMultilevel"/>
    <w:tmpl w:val="0282824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9C13F8"/>
    <w:multiLevelType w:val="hybridMultilevel"/>
    <w:tmpl w:val="6E48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B3C9C"/>
    <w:multiLevelType w:val="hybridMultilevel"/>
    <w:tmpl w:val="704443D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1001E"/>
    <w:multiLevelType w:val="hybridMultilevel"/>
    <w:tmpl w:val="4BCE7908"/>
    <w:lvl w:ilvl="0" w:tplc="97CE68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86F1620"/>
    <w:multiLevelType w:val="hybridMultilevel"/>
    <w:tmpl w:val="08F6406A"/>
    <w:lvl w:ilvl="0" w:tplc="B44EAB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A322619"/>
    <w:multiLevelType w:val="hybridMultilevel"/>
    <w:tmpl w:val="A650DD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C6CA3"/>
    <w:multiLevelType w:val="hybridMultilevel"/>
    <w:tmpl w:val="20F247A8"/>
    <w:lvl w:ilvl="0" w:tplc="F7EA7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7EA76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7EA768C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C1943"/>
    <w:multiLevelType w:val="hybridMultilevel"/>
    <w:tmpl w:val="C77A3D46"/>
    <w:lvl w:ilvl="0" w:tplc="326261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25BB5"/>
    <w:multiLevelType w:val="hybridMultilevel"/>
    <w:tmpl w:val="0B82F08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95A"/>
    <w:multiLevelType w:val="hybridMultilevel"/>
    <w:tmpl w:val="3386217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D"/>
    <w:rsid w:val="00014F5E"/>
    <w:rsid w:val="00022172"/>
    <w:rsid w:val="000515D6"/>
    <w:rsid w:val="00086CAA"/>
    <w:rsid w:val="00091D02"/>
    <w:rsid w:val="000C0997"/>
    <w:rsid w:val="000F22BD"/>
    <w:rsid w:val="001007D5"/>
    <w:rsid w:val="00106B64"/>
    <w:rsid w:val="00117406"/>
    <w:rsid w:val="001235DF"/>
    <w:rsid w:val="00132D6C"/>
    <w:rsid w:val="00165044"/>
    <w:rsid w:val="00176685"/>
    <w:rsid w:val="001917B1"/>
    <w:rsid w:val="001D1DDA"/>
    <w:rsid w:val="001F207B"/>
    <w:rsid w:val="00210731"/>
    <w:rsid w:val="00214FA1"/>
    <w:rsid w:val="002301B9"/>
    <w:rsid w:val="002368FB"/>
    <w:rsid w:val="00237955"/>
    <w:rsid w:val="00247D27"/>
    <w:rsid w:val="00277D15"/>
    <w:rsid w:val="00292D6A"/>
    <w:rsid w:val="002A0A17"/>
    <w:rsid w:val="002A7018"/>
    <w:rsid w:val="002A791F"/>
    <w:rsid w:val="002C32C1"/>
    <w:rsid w:val="002F122B"/>
    <w:rsid w:val="003031BE"/>
    <w:rsid w:val="0030610F"/>
    <w:rsid w:val="00320617"/>
    <w:rsid w:val="00322391"/>
    <w:rsid w:val="0036216A"/>
    <w:rsid w:val="00385DDE"/>
    <w:rsid w:val="003938A3"/>
    <w:rsid w:val="003A7D38"/>
    <w:rsid w:val="003D0F71"/>
    <w:rsid w:val="003F59C5"/>
    <w:rsid w:val="00410BBC"/>
    <w:rsid w:val="004115C7"/>
    <w:rsid w:val="00463F3A"/>
    <w:rsid w:val="0049092D"/>
    <w:rsid w:val="004A1FE2"/>
    <w:rsid w:val="004D079F"/>
    <w:rsid w:val="004E741B"/>
    <w:rsid w:val="004E7645"/>
    <w:rsid w:val="004E777F"/>
    <w:rsid w:val="004F5511"/>
    <w:rsid w:val="00506400"/>
    <w:rsid w:val="00513D02"/>
    <w:rsid w:val="00526448"/>
    <w:rsid w:val="00532489"/>
    <w:rsid w:val="0054137C"/>
    <w:rsid w:val="00560D77"/>
    <w:rsid w:val="00575F7A"/>
    <w:rsid w:val="00585AE4"/>
    <w:rsid w:val="00586D6B"/>
    <w:rsid w:val="00590C97"/>
    <w:rsid w:val="0059578F"/>
    <w:rsid w:val="005A5C01"/>
    <w:rsid w:val="005B4007"/>
    <w:rsid w:val="005B6875"/>
    <w:rsid w:val="005C46CB"/>
    <w:rsid w:val="005E0678"/>
    <w:rsid w:val="005E17E0"/>
    <w:rsid w:val="005F4A51"/>
    <w:rsid w:val="0060681A"/>
    <w:rsid w:val="006148A1"/>
    <w:rsid w:val="00621EBB"/>
    <w:rsid w:val="00633F4D"/>
    <w:rsid w:val="0064120E"/>
    <w:rsid w:val="00664391"/>
    <w:rsid w:val="00665C9D"/>
    <w:rsid w:val="00667661"/>
    <w:rsid w:val="00684F19"/>
    <w:rsid w:val="006A0BD3"/>
    <w:rsid w:val="006B0692"/>
    <w:rsid w:val="006B3251"/>
    <w:rsid w:val="006D21C5"/>
    <w:rsid w:val="006D2427"/>
    <w:rsid w:val="0070028C"/>
    <w:rsid w:val="00737320"/>
    <w:rsid w:val="00755DB2"/>
    <w:rsid w:val="007626BF"/>
    <w:rsid w:val="0079394F"/>
    <w:rsid w:val="007E151D"/>
    <w:rsid w:val="007F2B40"/>
    <w:rsid w:val="007F4189"/>
    <w:rsid w:val="008064F9"/>
    <w:rsid w:val="00845ABF"/>
    <w:rsid w:val="008665AA"/>
    <w:rsid w:val="00885DB6"/>
    <w:rsid w:val="0089109E"/>
    <w:rsid w:val="008969D2"/>
    <w:rsid w:val="008F54C0"/>
    <w:rsid w:val="009061BB"/>
    <w:rsid w:val="00912AC0"/>
    <w:rsid w:val="0092173E"/>
    <w:rsid w:val="00924350"/>
    <w:rsid w:val="009374F3"/>
    <w:rsid w:val="00940E8D"/>
    <w:rsid w:val="00943C17"/>
    <w:rsid w:val="00976A55"/>
    <w:rsid w:val="009E1427"/>
    <w:rsid w:val="00A019B6"/>
    <w:rsid w:val="00A21192"/>
    <w:rsid w:val="00A23870"/>
    <w:rsid w:val="00A52EF8"/>
    <w:rsid w:val="00A60459"/>
    <w:rsid w:val="00A81E49"/>
    <w:rsid w:val="00A9430C"/>
    <w:rsid w:val="00A96D63"/>
    <w:rsid w:val="00AA2CD4"/>
    <w:rsid w:val="00AA3A06"/>
    <w:rsid w:val="00AA7A1B"/>
    <w:rsid w:val="00AE32DD"/>
    <w:rsid w:val="00AE6A57"/>
    <w:rsid w:val="00AE7381"/>
    <w:rsid w:val="00B10585"/>
    <w:rsid w:val="00B21DE5"/>
    <w:rsid w:val="00B2612A"/>
    <w:rsid w:val="00B362FE"/>
    <w:rsid w:val="00B402F5"/>
    <w:rsid w:val="00B41B9B"/>
    <w:rsid w:val="00B75FE7"/>
    <w:rsid w:val="00B95BF7"/>
    <w:rsid w:val="00B96F7A"/>
    <w:rsid w:val="00BA2D4D"/>
    <w:rsid w:val="00BA7209"/>
    <w:rsid w:val="00BB4220"/>
    <w:rsid w:val="00BD075D"/>
    <w:rsid w:val="00BE0780"/>
    <w:rsid w:val="00BE1F80"/>
    <w:rsid w:val="00BE4AB0"/>
    <w:rsid w:val="00BE7342"/>
    <w:rsid w:val="00BF3187"/>
    <w:rsid w:val="00BF326A"/>
    <w:rsid w:val="00C2641B"/>
    <w:rsid w:val="00C31500"/>
    <w:rsid w:val="00C346E7"/>
    <w:rsid w:val="00C4086C"/>
    <w:rsid w:val="00C503B8"/>
    <w:rsid w:val="00C50A15"/>
    <w:rsid w:val="00C72185"/>
    <w:rsid w:val="00C809DE"/>
    <w:rsid w:val="00C8781E"/>
    <w:rsid w:val="00C96EAB"/>
    <w:rsid w:val="00CC2663"/>
    <w:rsid w:val="00CC3B20"/>
    <w:rsid w:val="00D04D56"/>
    <w:rsid w:val="00D14653"/>
    <w:rsid w:val="00D16B5A"/>
    <w:rsid w:val="00D46240"/>
    <w:rsid w:val="00D46CB1"/>
    <w:rsid w:val="00D638BE"/>
    <w:rsid w:val="00D64161"/>
    <w:rsid w:val="00D64D9A"/>
    <w:rsid w:val="00D66331"/>
    <w:rsid w:val="00D77BA4"/>
    <w:rsid w:val="00D814E5"/>
    <w:rsid w:val="00D8430D"/>
    <w:rsid w:val="00D90B64"/>
    <w:rsid w:val="00D93254"/>
    <w:rsid w:val="00DB7B65"/>
    <w:rsid w:val="00DD2887"/>
    <w:rsid w:val="00DD317D"/>
    <w:rsid w:val="00DE618D"/>
    <w:rsid w:val="00E02345"/>
    <w:rsid w:val="00E116EF"/>
    <w:rsid w:val="00E31CB5"/>
    <w:rsid w:val="00E32387"/>
    <w:rsid w:val="00E374C9"/>
    <w:rsid w:val="00E67495"/>
    <w:rsid w:val="00E70FAF"/>
    <w:rsid w:val="00E853D4"/>
    <w:rsid w:val="00E935B5"/>
    <w:rsid w:val="00E93A6F"/>
    <w:rsid w:val="00EA43B1"/>
    <w:rsid w:val="00EA585C"/>
    <w:rsid w:val="00EB6B51"/>
    <w:rsid w:val="00EC3109"/>
    <w:rsid w:val="00ED3D0C"/>
    <w:rsid w:val="00ED7363"/>
    <w:rsid w:val="00F37054"/>
    <w:rsid w:val="00F41269"/>
    <w:rsid w:val="00F55DA4"/>
    <w:rsid w:val="00F56AA0"/>
    <w:rsid w:val="00F639B4"/>
    <w:rsid w:val="00F730FD"/>
    <w:rsid w:val="00F76D55"/>
    <w:rsid w:val="00F81068"/>
    <w:rsid w:val="00FA4554"/>
    <w:rsid w:val="00FC502F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6E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F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FE7"/>
    <w:rPr>
      <w:vertAlign w:val="superscript"/>
    </w:rPr>
  </w:style>
  <w:style w:type="character" w:styleId="lev">
    <w:name w:val="Strong"/>
    <w:basedOn w:val="Policepardfaut"/>
    <w:uiPriority w:val="22"/>
    <w:qFormat/>
    <w:rsid w:val="00B75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5DA4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A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55D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17"/>
  </w:style>
  <w:style w:type="paragraph" w:styleId="Pieddepage">
    <w:name w:val="footer"/>
    <w:basedOn w:val="Normal"/>
    <w:link w:val="Pieddepag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17"/>
  </w:style>
  <w:style w:type="table" w:styleId="Grilledutableau">
    <w:name w:val="Table Grid"/>
    <w:basedOn w:val="TableauNormal"/>
    <w:uiPriority w:val="59"/>
    <w:rsid w:val="00A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F4A51"/>
    <w:rPr>
      <w:b/>
      <w:bCs/>
      <w:i w:val="0"/>
      <w:iCs w:val="0"/>
    </w:rPr>
  </w:style>
  <w:style w:type="character" w:customStyle="1" w:styleId="st1">
    <w:name w:val="st1"/>
    <w:basedOn w:val="Policepardfaut"/>
    <w:rsid w:val="005F4A5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363"/>
    <w:pPr>
      <w:keepLine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3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46E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F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F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FE7"/>
    <w:rPr>
      <w:vertAlign w:val="superscript"/>
    </w:rPr>
  </w:style>
  <w:style w:type="character" w:styleId="lev">
    <w:name w:val="Strong"/>
    <w:basedOn w:val="Policepardfaut"/>
    <w:uiPriority w:val="22"/>
    <w:qFormat/>
    <w:rsid w:val="00B75F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C9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5DA4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A4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F55DA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617"/>
  </w:style>
  <w:style w:type="paragraph" w:styleId="Pieddepage">
    <w:name w:val="footer"/>
    <w:basedOn w:val="Normal"/>
    <w:link w:val="PieddepageCar"/>
    <w:uiPriority w:val="99"/>
    <w:unhideWhenUsed/>
    <w:rsid w:val="0032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617"/>
  </w:style>
  <w:style w:type="table" w:styleId="Grilledutableau">
    <w:name w:val="Table Grid"/>
    <w:basedOn w:val="TableauNormal"/>
    <w:uiPriority w:val="59"/>
    <w:rsid w:val="00A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F4A51"/>
    <w:rPr>
      <w:b/>
      <w:bCs/>
      <w:i w:val="0"/>
      <w:iCs w:val="0"/>
    </w:rPr>
  </w:style>
  <w:style w:type="character" w:customStyle="1" w:styleId="st1">
    <w:name w:val="st1"/>
    <w:basedOn w:val="Policepardfaut"/>
    <w:rsid w:val="005F4A5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363"/>
    <w:pPr>
      <w:keepLine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36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2BF-E4CF-42F5-BCCF-DA13BBD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REF-1423501704314-101</vt:lpstr>
    </vt:vector>
  </TitlesOfParts>
  <Company>MINEFI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REF-1423501704314-101</dc:title>
  <dc:creator>Bernard ZAKIA</dc:creator>
  <cp:lastModifiedBy>Jean Patrick GOUDALLE</cp:lastModifiedBy>
  <cp:revision>3</cp:revision>
  <cp:lastPrinted>2018-03-22T09:54:00Z</cp:lastPrinted>
  <dcterms:created xsi:type="dcterms:W3CDTF">2018-03-21T16:57:00Z</dcterms:created>
  <dcterms:modified xsi:type="dcterms:W3CDTF">2018-03-22T10:00:00Z</dcterms:modified>
</cp:coreProperties>
</file>