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4" w:rsidRDefault="009E60E4">
      <w:pPr>
        <w:spacing w:before="120" w:after="120"/>
        <w:jc w:val="center"/>
        <w:rPr>
          <w:b/>
          <w:bCs/>
        </w:rPr>
      </w:pPr>
    </w:p>
    <w:p w:rsidR="00565DBE" w:rsidRPr="00F71067" w:rsidRDefault="00803828">
      <w:pPr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r w:rsidRPr="00F71067">
        <w:rPr>
          <w:rFonts w:ascii="Arial" w:hAnsi="Arial" w:cs="Arial"/>
          <w:b/>
          <w:bCs/>
        </w:rPr>
        <w:t>ANNEXE 1</w:t>
      </w:r>
    </w:p>
    <w:bookmarkEnd w:id="0"/>
    <w:p w:rsidR="00565DBE" w:rsidRDefault="00565DB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" w:color="auto" w:shadow="1"/>
        </w:pBdr>
        <w:tabs>
          <w:tab w:val="left" w:pos="12060"/>
          <w:tab w:val="left" w:pos="12960"/>
        </w:tabs>
        <w:spacing w:before="60" w:after="60"/>
        <w:ind w:left="2340" w:right="2700"/>
        <w:jc w:val="center"/>
        <w:rPr>
          <w:rFonts w:ascii="Arial" w:hAnsi="Arial" w:cs="Arial"/>
          <w:b/>
          <w:bCs/>
          <w:spacing w:val="16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16"/>
          <w:kern w:val="32"/>
          <w:sz w:val="28"/>
          <w:szCs w:val="28"/>
        </w:rPr>
        <w:t>projet d’article</w:t>
      </w:r>
    </w:p>
    <w:p w:rsidR="00565DBE" w:rsidRDefault="00565DBE">
      <w:pPr>
        <w:spacing w:before="480"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9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5162"/>
      </w:tblGrid>
      <w:tr w:rsidR="00565DBE">
        <w:tc>
          <w:tcPr>
            <w:tcW w:w="4307" w:type="dxa"/>
            <w:tcBorders>
              <w:bottom w:val="nil"/>
            </w:tcBorders>
          </w:tcPr>
          <w:p w:rsidR="00565DBE" w:rsidRDefault="00565DBE">
            <w:pPr>
              <w:tabs>
                <w:tab w:val="right" w:pos="6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:</w:t>
            </w:r>
          </w:p>
        </w:tc>
        <w:tc>
          <w:tcPr>
            <w:tcW w:w="5162" w:type="dxa"/>
            <w:tcBorders>
              <w:bottom w:val="nil"/>
            </w:tcBorders>
          </w:tcPr>
          <w:p w:rsidR="00565DBE" w:rsidRDefault="00565DBE">
            <w:pPr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565DBE">
        <w:tc>
          <w:tcPr>
            <w:tcW w:w="4307" w:type="dxa"/>
            <w:tcBorders>
              <w:top w:val="nil"/>
              <w:bottom w:val="nil"/>
            </w:tcBorders>
          </w:tcPr>
          <w:p w:rsidR="00565DBE" w:rsidRDefault="00565DBE">
            <w:pPr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émanant de :</w:t>
            </w:r>
          </w:p>
        </w:tc>
        <w:tc>
          <w:tcPr>
            <w:tcW w:w="5162" w:type="dxa"/>
            <w:tcBorders>
              <w:top w:val="nil"/>
              <w:bottom w:val="nil"/>
            </w:tcBorders>
          </w:tcPr>
          <w:p w:rsidR="00565DBE" w:rsidRDefault="00565DBE">
            <w:pPr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Ministère de …  / Direction …</w:t>
            </w:r>
          </w:p>
        </w:tc>
      </w:tr>
      <w:tr w:rsidR="00565DBE">
        <w:tc>
          <w:tcPr>
            <w:tcW w:w="4307" w:type="dxa"/>
            <w:tcBorders>
              <w:top w:val="nil"/>
              <w:bottom w:val="nil"/>
            </w:tcBorders>
          </w:tcPr>
          <w:p w:rsidR="00565DBE" w:rsidRDefault="00565DBE">
            <w:pPr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au sein du PLF :</w:t>
            </w:r>
          </w:p>
        </w:tc>
        <w:tc>
          <w:tcPr>
            <w:tcW w:w="5162" w:type="dxa"/>
            <w:tcBorders>
              <w:top w:val="nil"/>
              <w:bottom w:val="nil"/>
            </w:tcBorders>
          </w:tcPr>
          <w:p w:rsidR="00565DBE" w:rsidRDefault="00565DBE">
            <w:pPr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 /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</w:t>
            </w:r>
          </w:p>
        </w:tc>
      </w:tr>
      <w:tr w:rsidR="00565DBE">
        <w:tc>
          <w:tcPr>
            <w:tcW w:w="4307" w:type="dxa"/>
            <w:tcBorders>
              <w:top w:val="nil"/>
            </w:tcBorders>
          </w:tcPr>
          <w:p w:rsidR="00565DBE" w:rsidRDefault="00565DBE">
            <w:pPr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/ économie résultant de la mise en œuvre des dispositions (en M€) :</w:t>
            </w:r>
          </w:p>
          <w:p w:rsidR="00565DBE" w:rsidRDefault="00565DBE">
            <w:pPr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Rattachement budgétaire (le cas échéant) :</w:t>
            </w:r>
          </w:p>
        </w:tc>
        <w:tc>
          <w:tcPr>
            <w:tcW w:w="5162" w:type="dxa"/>
            <w:tcBorders>
              <w:top w:val="nil"/>
            </w:tcBorders>
          </w:tcPr>
          <w:p w:rsidR="00565DBE" w:rsidRDefault="00565DBE">
            <w:pPr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NÉANT / X M€ (recettes / dépenses)</w:t>
            </w:r>
          </w:p>
          <w:p w:rsidR="00565DBE" w:rsidRDefault="00565DBE">
            <w:pPr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Mission / Programme </w:t>
            </w:r>
          </w:p>
        </w:tc>
      </w:tr>
    </w:tbl>
    <w:p w:rsidR="00565DBE" w:rsidRDefault="00565DBE">
      <w:pPr>
        <w:spacing w:before="360" w:after="60"/>
        <w:jc w:val="both"/>
        <w:rPr>
          <w:rFonts w:ascii="Arial" w:hAnsi="Arial" w:cs="Arial"/>
          <w:sz w:val="20"/>
          <w:szCs w:val="20"/>
        </w:rPr>
      </w:pPr>
    </w:p>
    <w:p w:rsidR="00565DBE" w:rsidRDefault="00565DBE">
      <w:pPr>
        <w:shd w:val="clear" w:color="auto" w:fill="CCFFFF"/>
        <w:spacing w:before="60" w:after="60"/>
        <w:ind w:right="70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Texte de l’article :</w:t>
      </w:r>
    </w:p>
    <w:p w:rsidR="00565DBE" w:rsidRDefault="00565DBE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65DBE" w:rsidRDefault="00565DBE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 - </w:t>
      </w:r>
    </w:p>
    <w:p w:rsidR="00565DBE" w:rsidRDefault="00565DBE">
      <w:p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 - </w:t>
      </w:r>
    </w:p>
    <w:p w:rsidR="00565DBE" w:rsidRDefault="00565DBE">
      <w:pPr>
        <w:spacing w:before="24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 - </w:t>
      </w:r>
    </w:p>
    <w:p w:rsidR="00565DBE" w:rsidRDefault="00565DBE">
      <w:pPr>
        <w:spacing w:before="240"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565DBE" w:rsidRDefault="00565DBE">
      <w:pPr>
        <w:shd w:val="clear" w:color="auto" w:fill="CCFFFF"/>
        <w:spacing w:before="60" w:after="60"/>
        <w:ind w:right="55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Exposé des motifs de l’article :</w:t>
      </w:r>
    </w:p>
    <w:p w:rsidR="00565DBE" w:rsidRDefault="00565DBE"/>
    <w:p w:rsidR="00565DBE" w:rsidRDefault="00565DBE">
      <w:pPr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article …</w:t>
      </w:r>
    </w:p>
    <w:p w:rsidR="00565DBE" w:rsidRDefault="00565DBE">
      <w:pPr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65DBE" w:rsidRDefault="00565DBE">
      <w:pPr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65DBE" w:rsidRDefault="00565DBE">
      <w:pPr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65DBE" w:rsidRDefault="00565DBE"/>
    <w:p w:rsidR="00565DBE" w:rsidRDefault="00565DBE"/>
    <w:p w:rsidR="00565DBE" w:rsidRDefault="00565DBE"/>
    <w:p w:rsidR="00565DBE" w:rsidRDefault="00565DBE">
      <w:pPr>
        <w:shd w:val="clear" w:color="auto" w:fill="CCFFFF"/>
        <w:spacing w:before="60" w:after="60"/>
        <w:ind w:right="65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Évaluation préalable :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  Diagnostic des difficultés à résoudre et objectifs de la réforme envisagée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1.1  Situation actuelle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1.2  Description des dispositifs juridiques en vigueur et date de leur dernière modification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1.3  Problème à résoudre, raisons pour lesquelles les moyens existants sont insuffisants et le cas échéant nécessité de procéder à une nouvelle modification des dispositifs existants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1.4  Objectifs poursuivis par la réforme (présentation de la logique de l’intervention)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  Options possibles et nécessité de légiférer 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2.1  Liste des options possibles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 minima deux options, éviter de mentionner le « statu quo » comme une option).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2.2  Description des avantages/inconvénients des différentes options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2.3  Raisons ayant présidé au choix de l’option proposée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  Dispositif juridique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3.1  Rattachement au domaine de la loi de finances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(Viser précisément la partie de l’article 34 de la LOLF qui justifie le rattachement de la disposition à la loi de finances).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3.2  Liste des dispositions (législatives et réglementaires) à créer, à modifier ou à abroger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(Rubrique à compléter en lien avec la rubrique 1.2 supra).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3.3  Articulation avec le droit européen en vigueur ou en cours d’élaboration (traités, droit dérivé, jurisprudence, aides d’État)</w:t>
      </w:r>
    </w:p>
    <w:p w:rsidR="00565DBE" w:rsidRPr="00E4184F" w:rsidRDefault="00565DBE">
      <w:pPr>
        <w:spacing w:before="24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E4184F">
        <w:rPr>
          <w:rFonts w:ascii="Arial" w:hAnsi="Arial" w:cs="Arial"/>
          <w:i/>
          <w:iCs/>
          <w:sz w:val="18"/>
          <w:szCs w:val="18"/>
        </w:rPr>
        <w:t>En particulier, en cas de présence d’</w:t>
      </w:r>
      <w:r w:rsidR="009E60E4">
        <w:rPr>
          <w:rFonts w:ascii="Arial" w:hAnsi="Arial" w:cs="Arial"/>
          <w:i/>
          <w:iCs/>
          <w:sz w:val="18"/>
          <w:szCs w:val="18"/>
        </w:rPr>
        <w:t xml:space="preserve">une </w:t>
      </w:r>
      <w:r w:rsidRPr="00E4184F">
        <w:rPr>
          <w:rFonts w:ascii="Arial" w:hAnsi="Arial" w:cs="Arial"/>
          <w:i/>
          <w:iCs/>
          <w:sz w:val="18"/>
          <w:szCs w:val="18"/>
        </w:rPr>
        <w:t xml:space="preserve">aide d’Etat, veuillez vous reporter aux formulations proposées permettant de garantir la compatibilité de la mesure avec le droit de l’Union européenne dans l’annexe </w:t>
      </w:r>
      <w:r w:rsidR="009E60E4">
        <w:rPr>
          <w:rFonts w:ascii="Arial" w:hAnsi="Arial" w:cs="Arial"/>
          <w:i/>
          <w:iCs/>
          <w:sz w:val="18"/>
          <w:szCs w:val="18"/>
        </w:rPr>
        <w:t>3</w:t>
      </w:r>
      <w:r w:rsidRPr="00E4184F">
        <w:rPr>
          <w:rFonts w:ascii="Arial" w:hAnsi="Arial" w:cs="Arial"/>
          <w:i/>
          <w:iCs/>
          <w:sz w:val="18"/>
          <w:szCs w:val="18"/>
        </w:rPr>
        <w:t>.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3.4  Modalités d’application dans le temps (mesures transitoires éventuelles) et sur le territoire (justification, le cas échéant, des adaptations proposées et de l’absence d’application de la disposition à certaines collectivités d’outre-mer)</w:t>
      </w:r>
    </w:p>
    <w:tbl>
      <w:tblPr>
        <w:tblW w:w="7796" w:type="dxa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3912"/>
      </w:tblGrid>
      <w:tr w:rsidR="00565DBE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Modalités d’application dans les départements et régions d’outre-mer :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Guadeloupe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de plein droit / Adaptations proposées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Guyane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de plein droit / Adaptations proposées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Martinique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de plein droit / Adaptations proposées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Réunion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de plein droit / Adaptations proposées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Mayotte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de plein droit / Adaptations proposées</w:t>
            </w:r>
          </w:p>
        </w:tc>
      </w:tr>
    </w:tbl>
    <w:p w:rsidR="00565DBE" w:rsidRDefault="00565DBE">
      <w:pPr>
        <w:widowControl w:val="0"/>
      </w:pPr>
    </w:p>
    <w:tbl>
      <w:tblPr>
        <w:tblW w:w="7796" w:type="dxa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3912"/>
      </w:tblGrid>
      <w:tr w:rsidR="00565DBE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Application éventuelle dans les collectivités d’outre-mer :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Saint-Barthélemy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Saint-Martin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Saint-Pierre-et-Miquelon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Wallis et Futuna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Polynésie française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Nouvelle-Calédonie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  <w:tr w:rsidR="00565DBE">
        <w:trPr>
          <w:cantSplit/>
        </w:trPr>
        <w:tc>
          <w:tcPr>
            <w:tcW w:w="3884" w:type="dxa"/>
            <w:tcBorders>
              <w:top w:val="single" w:sz="4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</w:tcPr>
          <w:p w:rsidR="00565DBE" w:rsidRDefault="00565DB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Terres australes et antarctiques françaises</w:t>
            </w:r>
          </w:p>
        </w:tc>
        <w:tc>
          <w:tcPr>
            <w:tcW w:w="391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565DBE" w:rsidRDefault="00565DB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 / NON</w:t>
            </w:r>
          </w:p>
        </w:tc>
      </w:tr>
    </w:tbl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  Impact de la disposition envisagée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4.1  Évaluation des conséquences pour chaque catégorie de personnes physiques et morales intéressées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   </w:t>
      </w:r>
      <w:r w:rsidR="00DD270C">
        <w:rPr>
          <w:rFonts w:ascii="Arial" w:hAnsi="Arial" w:cs="Arial"/>
          <w:i/>
          <w:iCs/>
          <w:sz w:val="18"/>
          <w:szCs w:val="18"/>
        </w:rPr>
        <w:t xml:space="preserve">4.1.1    </w:t>
      </w:r>
      <w:r>
        <w:rPr>
          <w:rFonts w:ascii="Arial" w:hAnsi="Arial" w:cs="Arial"/>
          <w:i/>
          <w:iCs/>
          <w:sz w:val="18"/>
          <w:szCs w:val="18"/>
        </w:rPr>
        <w:t>Incidences micro et/ou macro-économiques (impact sur la croissance, la compétitivité, la concurrence, modification des comportements...)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numPr>
          <w:ilvl w:val="2"/>
          <w:numId w:val="10"/>
        </w:num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Coûts et bénéfices financiers pour chaque catégorie de personnes physiques et morales concernée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numPr>
          <w:ilvl w:val="2"/>
          <w:numId w:val="10"/>
        </w:num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Impact en matière d’égalité entre les  femmes </w:t>
      </w:r>
      <w:r w:rsidR="009B228A">
        <w:rPr>
          <w:rFonts w:ascii="Arial" w:hAnsi="Arial" w:cs="Arial"/>
          <w:i/>
          <w:iCs/>
          <w:sz w:val="18"/>
          <w:szCs w:val="18"/>
        </w:rPr>
        <w:t xml:space="preserve">et les hommes </w:t>
      </w:r>
    </w:p>
    <w:p w:rsidR="00565DBE" w:rsidRDefault="00565DBE">
      <w:pPr>
        <w:ind w:left="708"/>
        <w:rPr>
          <w:i/>
          <w:iCs/>
        </w:rPr>
      </w:pPr>
    </w:p>
    <w:p w:rsidR="00565DBE" w:rsidRDefault="00565DBE">
      <w:pPr>
        <w:keepNext/>
        <w:numPr>
          <w:ilvl w:val="2"/>
          <w:numId w:val="10"/>
        </w:num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Impact sur la stratégie d’ensemble relative aux personnes en situation de handicap (domaines, moyens à prévoir pour leur mise en œuvre…)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numPr>
          <w:ilvl w:val="2"/>
          <w:numId w:val="10"/>
        </w:num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Incidences sociales (impact sur l’emploi et le marché du travail en particulier)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numPr>
          <w:ilvl w:val="2"/>
          <w:numId w:val="10"/>
        </w:num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Incidences environnementales</w:t>
      </w:r>
    </w:p>
    <w:p w:rsidR="00565DBE" w:rsidRDefault="00565DBE">
      <w:pPr>
        <w:pStyle w:val="Paragraphedeliste"/>
        <w:rPr>
          <w:rFonts w:ascii="Arial" w:hAnsi="Arial" w:cs="Arial"/>
          <w:i/>
          <w:iCs/>
          <w:sz w:val="18"/>
          <w:szCs w:val="18"/>
        </w:rPr>
      </w:pPr>
    </w:p>
    <w:p w:rsidR="00565DBE" w:rsidRDefault="00565DBE">
      <w:pPr>
        <w:keepNext/>
        <w:numPr>
          <w:ilvl w:val="2"/>
          <w:numId w:val="10"/>
        </w:num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Impact sur la jeunesse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4.2  Évaluation des conséquences pour les administrations publiques concernées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   4.2.1  Incidences budgétaires (coûts/économies nets de la mesure proposée)</w:t>
      </w:r>
    </w:p>
    <w:tbl>
      <w:tblPr>
        <w:tblW w:w="8718" w:type="dxa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6"/>
        <w:gridCol w:w="510"/>
        <w:gridCol w:w="510"/>
        <w:gridCol w:w="510"/>
        <w:gridCol w:w="510"/>
        <w:gridCol w:w="510"/>
        <w:gridCol w:w="145"/>
        <w:gridCol w:w="2285"/>
        <w:gridCol w:w="72"/>
      </w:tblGrid>
      <w:tr w:rsidR="00565DBE">
        <w:trPr>
          <w:trHeight w:val="319"/>
        </w:trPr>
        <w:tc>
          <w:tcPr>
            <w:tcW w:w="87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BE" w:rsidRDefault="00565DBE">
            <w:pPr>
              <w:keepNext/>
              <w:spacing w:before="4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Incidence budgétaire ou financière de la disposition prévue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</w:tr>
      <w:tr w:rsidR="00565DBE">
        <w:trPr>
          <w:trHeight w:val="228"/>
        </w:trPr>
        <w:tc>
          <w:tcPr>
            <w:tcW w:w="87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BE" w:rsidRDefault="00565DBE">
            <w:pPr>
              <w:keepNext/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Coûts nets ou économies nettes (-) exprimés en millions d’euros</w:t>
            </w:r>
          </w:p>
        </w:tc>
      </w:tr>
      <w:tr w:rsidR="007305AA" w:rsidTr="007305AA">
        <w:trPr>
          <w:gridAfter w:val="1"/>
          <w:wAfter w:w="72" w:type="dxa"/>
          <w:trHeight w:val="608"/>
        </w:trPr>
        <w:tc>
          <w:tcPr>
            <w:tcW w:w="366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center"/>
          </w:tcPr>
          <w:p w:rsidR="007305AA" w:rsidRDefault="007305A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7305AA" w:rsidRDefault="007305A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7305AA" w:rsidRDefault="007305AA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7305AA" w:rsidRDefault="007305AA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7305AA" w:rsidRDefault="007305AA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7305AA" w:rsidRDefault="007305AA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</w:tcPr>
          <w:p w:rsidR="007305AA" w:rsidRDefault="007305A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8" w:space="0" w:color="00FFFF"/>
            </w:tcBorders>
            <w:vAlign w:val="center"/>
          </w:tcPr>
          <w:p w:rsidR="007305AA" w:rsidRDefault="007305A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Coût pérenne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ou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économie pérenne (-) </w:t>
            </w:r>
          </w:p>
        </w:tc>
      </w:tr>
      <w:tr w:rsidR="007305AA" w:rsidTr="007305AA">
        <w:trPr>
          <w:gridAfter w:val="1"/>
          <w:wAfter w:w="72" w:type="dxa"/>
          <w:trHeight w:val="274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</w:t>
            </w:r>
          </w:p>
        </w:tc>
        <w:tc>
          <w:tcPr>
            <w:tcW w:w="510" w:type="dxa"/>
            <w:tcBorders>
              <w:top w:val="single" w:sz="4" w:space="0" w:color="00FFFF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74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Dépenses de personnel (AE=CP)   [1]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58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Dépenses hors personnel : AE   </w:t>
            </w:r>
            <w:r>
              <w:rPr>
                <w:rFonts w:ascii="Arial" w:hAnsi="Arial" w:cs="Arial"/>
                <w:sz w:val="16"/>
                <w:szCs w:val="16"/>
              </w:rPr>
              <w:t>[2]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74"/>
        </w:trPr>
        <w:tc>
          <w:tcPr>
            <w:tcW w:w="3666" w:type="dxa"/>
            <w:tcBorders>
              <w:top w:val="nil"/>
              <w:left w:val="single" w:sz="8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Dépenses hors personnel : CP   [3]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single" w:sz="4" w:space="0" w:color="auto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74"/>
        </w:trPr>
        <w:tc>
          <w:tcPr>
            <w:tcW w:w="3666" w:type="dxa"/>
            <w:tcBorders>
              <w:top w:val="single" w:sz="4" w:space="0" w:color="auto"/>
              <w:left w:val="single" w:sz="8" w:space="0" w:color="00FFFF"/>
              <w:bottom w:val="nil"/>
              <w:right w:val="single" w:sz="4" w:space="0" w:color="00FFFF"/>
            </w:tcBorders>
            <w:shd w:val="clear" w:color="00FFFF" w:fill="FFFFFF"/>
            <w:vAlign w:val="bottom"/>
          </w:tcPr>
          <w:p w:rsidR="007305AA" w:rsidRDefault="007305AA">
            <w:pPr>
              <w:keepNext/>
              <w:spacing w:before="6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Total pour l’État : AE   </w:t>
            </w:r>
            <w:r>
              <w:rPr>
                <w:rFonts w:ascii="Arial" w:hAnsi="Arial" w:cs="Arial"/>
                <w:sz w:val="16"/>
                <w:szCs w:val="16"/>
              </w:rPr>
              <w:t>= [1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]+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[2]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right w:val="single" w:sz="4" w:space="0" w:color="00FFFF"/>
            </w:tcBorders>
            <w:shd w:val="clear" w:color="00FFFF" w:fill="FFFFFF"/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shd w:val="clear" w:color="auto" w:fill="FFFFFF"/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60" w:after="4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74"/>
        </w:trPr>
        <w:tc>
          <w:tcPr>
            <w:tcW w:w="3666" w:type="dxa"/>
            <w:tcBorders>
              <w:top w:val="nil"/>
              <w:left w:val="single" w:sz="8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pour l’État : CP   </w:t>
            </w:r>
            <w:r>
              <w:rPr>
                <w:rFonts w:ascii="Arial" w:hAnsi="Arial" w:cs="Arial"/>
                <w:sz w:val="16"/>
                <w:szCs w:val="16"/>
              </w:rPr>
              <w:t>[4] = [1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]+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[3]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single" w:sz="4" w:space="0" w:color="00FFFF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304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Collectivités territoriales   </w:t>
            </w:r>
            <w:r>
              <w:rPr>
                <w:rFonts w:ascii="Arial" w:hAnsi="Arial" w:cs="Arial"/>
                <w:sz w:val="16"/>
                <w:szCs w:val="16"/>
              </w:rPr>
              <w:t>[5]</w:t>
            </w:r>
          </w:p>
        </w:tc>
        <w:tc>
          <w:tcPr>
            <w:tcW w:w="510" w:type="dxa"/>
            <w:tcBorders>
              <w:top w:val="single" w:sz="4" w:space="0" w:color="00FFFF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FFFF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FFFF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FFFF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FFFF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8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74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Sécurité sociale   </w:t>
            </w:r>
            <w:r>
              <w:rPr>
                <w:rFonts w:ascii="Arial" w:hAnsi="Arial" w:cs="Arial"/>
                <w:sz w:val="16"/>
                <w:szCs w:val="16"/>
              </w:rPr>
              <w:t>[6]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58"/>
        </w:trPr>
        <w:tc>
          <w:tcPr>
            <w:tcW w:w="3666" w:type="dxa"/>
            <w:tcBorders>
              <w:top w:val="nil"/>
              <w:left w:val="single" w:sz="8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administrations publiques   </w:t>
            </w:r>
            <w:r>
              <w:rPr>
                <w:rFonts w:ascii="Arial" w:hAnsi="Arial" w:cs="Arial"/>
                <w:sz w:val="16"/>
                <w:szCs w:val="16"/>
              </w:rPr>
              <w:t>[7]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single" w:sz="4" w:space="0" w:color="auto"/>
              <w:right w:val="single" w:sz="8" w:space="0" w:color="00FFFF"/>
            </w:tcBorders>
            <w:vAlign w:val="bottom"/>
          </w:tcPr>
          <w:p w:rsidR="007305AA" w:rsidRDefault="007305AA">
            <w:pPr>
              <w:keepNext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05AA" w:rsidTr="007305AA">
        <w:trPr>
          <w:gridAfter w:val="1"/>
          <w:wAfter w:w="72" w:type="dxa"/>
          <w:trHeight w:val="289"/>
        </w:trPr>
        <w:tc>
          <w:tcPr>
            <w:tcW w:w="3666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4" w:space="0" w:color="00FFFF"/>
            </w:tcBorders>
            <w:shd w:val="clear" w:color="00FFFF" w:fill="FFFFFF"/>
            <w:vAlign w:val="bottom"/>
          </w:tcPr>
          <w:p w:rsidR="007305AA" w:rsidRDefault="007305AA">
            <w:pPr>
              <w:spacing w:before="8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pour l’ensemble des APU [4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]+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[5]+[6]+[7]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shd w:val="clear" w:color="00FFFF" w:fill="FFFFFF"/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shd w:val="clear" w:color="auto" w:fill="FFFFFF"/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8" w:space="0" w:color="00FFFF"/>
            </w:tcBorders>
            <w:shd w:val="clear" w:color="00FFFF" w:fill="FFFFFF"/>
            <w:vAlign w:val="bottom"/>
          </w:tcPr>
          <w:p w:rsidR="007305AA" w:rsidRDefault="007305AA">
            <w:pPr>
              <w:spacing w:before="8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8718" w:type="dxa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6"/>
        <w:gridCol w:w="510"/>
        <w:gridCol w:w="510"/>
        <w:gridCol w:w="510"/>
        <w:gridCol w:w="510"/>
        <w:gridCol w:w="510"/>
        <w:gridCol w:w="145"/>
        <w:gridCol w:w="2285"/>
        <w:gridCol w:w="72"/>
      </w:tblGrid>
      <w:tr w:rsidR="00565DBE" w:rsidTr="00FC5452">
        <w:trPr>
          <w:trHeight w:val="331"/>
        </w:trPr>
        <w:tc>
          <w:tcPr>
            <w:tcW w:w="87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BE" w:rsidRDefault="00565DBE">
            <w:pPr>
              <w:keepNext/>
              <w:spacing w:before="4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Disposition fiscale :</w:t>
            </w:r>
          </w:p>
        </w:tc>
      </w:tr>
      <w:tr w:rsidR="00565DBE" w:rsidTr="00FC5452">
        <w:trPr>
          <w:trHeight w:val="226"/>
        </w:trPr>
        <w:tc>
          <w:tcPr>
            <w:tcW w:w="87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BE" w:rsidRDefault="00565DBE">
            <w:pPr>
              <w:keepNext/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Augmentation nette (+) ou diminution nette (-) des recettes fiscales exprimée en millions d’euros</w:t>
            </w:r>
          </w:p>
        </w:tc>
      </w:tr>
      <w:tr w:rsidR="00FC5452" w:rsidTr="00FC5452">
        <w:trPr>
          <w:gridAfter w:val="1"/>
          <w:wAfter w:w="72" w:type="dxa"/>
          <w:trHeight w:val="602"/>
        </w:trPr>
        <w:tc>
          <w:tcPr>
            <w:tcW w:w="366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center"/>
          </w:tcPr>
          <w:p w:rsidR="00FC5452" w:rsidRDefault="00FC545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A6CB1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A6CB1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A6CB1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</w:tcPr>
          <w:p w:rsidR="00FC5452" w:rsidRDefault="00FC545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8" w:space="0" w:color="00FFFF"/>
            </w:tcBorders>
            <w:vAlign w:val="center"/>
          </w:tcPr>
          <w:p w:rsidR="00FC5452" w:rsidRDefault="00FC545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Augmentation pérenne (+)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ou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diminution pérenne (-) </w:t>
            </w:r>
          </w:p>
        </w:tc>
      </w:tr>
      <w:tr w:rsidR="00FC5452" w:rsidTr="00FC5452">
        <w:trPr>
          <w:gridAfter w:val="1"/>
          <w:wAfter w:w="72" w:type="dxa"/>
          <w:trHeight w:val="271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État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2" w:type="dxa"/>
          <w:trHeight w:val="271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Collectivités territoriales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2" w:type="dxa"/>
          <w:trHeight w:val="256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Sécurité sociale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2" w:type="dxa"/>
          <w:trHeight w:val="271"/>
        </w:trPr>
        <w:tc>
          <w:tcPr>
            <w:tcW w:w="3666" w:type="dxa"/>
            <w:tcBorders>
              <w:top w:val="nil"/>
              <w:left w:val="single" w:sz="8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administrations publiques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single" w:sz="4" w:space="0" w:color="auto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2" w:type="dxa"/>
          <w:trHeight w:val="256"/>
        </w:trPr>
        <w:tc>
          <w:tcPr>
            <w:tcW w:w="3666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4" w:space="0" w:color="00FFFF"/>
            </w:tcBorders>
            <w:shd w:val="clear" w:color="00FFFF" w:fill="FFFFFF"/>
            <w:vAlign w:val="center"/>
          </w:tcPr>
          <w:p w:rsidR="00FC5452" w:rsidRDefault="00FC5452">
            <w:pPr>
              <w:spacing w:before="6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pour l’ensemble des APU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shd w:val="clear" w:color="00FFFF" w:fill="FFFFFF"/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shd w:val="clear" w:color="auto" w:fill="FFFFFF"/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8" w:space="0" w:color="00FFFF"/>
            </w:tcBorders>
            <w:shd w:val="clear" w:color="00FFFF" w:fill="FFFFFF"/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65DBE" w:rsidRDefault="00565DBE">
      <w:pPr>
        <w:keepNext/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   4.2.2  Incidences sur l’emploi public et la charge administrative</w:t>
      </w:r>
    </w:p>
    <w:tbl>
      <w:tblPr>
        <w:tblW w:w="8720" w:type="dxa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6"/>
        <w:gridCol w:w="510"/>
        <w:gridCol w:w="510"/>
        <w:gridCol w:w="510"/>
        <w:gridCol w:w="510"/>
        <w:gridCol w:w="510"/>
        <w:gridCol w:w="145"/>
        <w:gridCol w:w="2285"/>
        <w:gridCol w:w="74"/>
      </w:tblGrid>
      <w:tr w:rsidR="00565DBE">
        <w:trPr>
          <w:trHeight w:val="331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BE" w:rsidRDefault="00565DBE">
            <w:pPr>
              <w:keepNext/>
              <w:spacing w:before="4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Impact sur l’emploi public :</w:t>
            </w:r>
          </w:p>
        </w:tc>
      </w:tr>
      <w:tr w:rsidR="00565DBE">
        <w:trPr>
          <w:trHeight w:val="211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BE" w:rsidRDefault="00565DBE">
            <w:pPr>
              <w:keepNext/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Nombre d’emplois créés ou supprimés (-) exprimé en équivalents temps plein (ETP)</w:t>
            </w:r>
          </w:p>
        </w:tc>
      </w:tr>
      <w:tr w:rsidR="00FC5452" w:rsidTr="00FC5452">
        <w:trPr>
          <w:gridAfter w:val="1"/>
          <w:wAfter w:w="74" w:type="dxa"/>
          <w:trHeight w:val="421"/>
        </w:trPr>
        <w:tc>
          <w:tcPr>
            <w:tcW w:w="366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center"/>
          </w:tcPr>
          <w:p w:rsidR="00FC5452" w:rsidRDefault="00FC545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FFFF"/>
              <w:left w:val="single" w:sz="8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B228A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A6CB1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A6CB1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10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vAlign w:val="center"/>
          </w:tcPr>
          <w:p w:rsidR="00FC5452" w:rsidRDefault="00FC5452" w:rsidP="009A6CB1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</w:tcPr>
          <w:p w:rsidR="00FC5452" w:rsidRDefault="00FC545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8" w:space="0" w:color="00FFFF"/>
              <w:left w:val="single" w:sz="4" w:space="0" w:color="00FFFF"/>
              <w:bottom w:val="single" w:sz="4" w:space="0" w:color="00FFFF"/>
              <w:right w:val="single" w:sz="8" w:space="0" w:color="00FFFF"/>
            </w:tcBorders>
            <w:vAlign w:val="center"/>
          </w:tcPr>
          <w:p w:rsidR="00FC5452" w:rsidRDefault="00FC5452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pour les deux années</w:t>
            </w:r>
          </w:p>
        </w:tc>
      </w:tr>
      <w:tr w:rsidR="00FC5452" w:rsidTr="00FC5452">
        <w:trPr>
          <w:gridAfter w:val="1"/>
          <w:wAfter w:w="74" w:type="dxa"/>
          <w:trHeight w:val="271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État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4" w:type="dxa"/>
          <w:trHeight w:val="271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Collectivités territoriales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4" w:type="dxa"/>
          <w:trHeight w:val="256"/>
        </w:trPr>
        <w:tc>
          <w:tcPr>
            <w:tcW w:w="3666" w:type="dxa"/>
            <w:tcBorders>
              <w:top w:val="nil"/>
              <w:left w:val="single" w:sz="8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Sécurité sociale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nil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4" w:type="dxa"/>
          <w:trHeight w:val="271"/>
        </w:trPr>
        <w:tc>
          <w:tcPr>
            <w:tcW w:w="3666" w:type="dxa"/>
            <w:tcBorders>
              <w:top w:val="nil"/>
              <w:left w:val="single" w:sz="8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administrations publiques</w:t>
            </w:r>
          </w:p>
        </w:tc>
        <w:tc>
          <w:tcPr>
            <w:tcW w:w="510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FFFF"/>
              <w:bottom w:val="single" w:sz="4" w:space="0" w:color="auto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FFFF"/>
              <w:bottom w:val="single" w:sz="4" w:space="0" w:color="auto"/>
              <w:right w:val="single" w:sz="8" w:space="0" w:color="00FFFF"/>
            </w:tcBorders>
            <w:vAlign w:val="bottom"/>
          </w:tcPr>
          <w:p w:rsidR="00FC5452" w:rsidRDefault="00FC5452">
            <w:pPr>
              <w:keepNext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52" w:rsidTr="00FC5452">
        <w:trPr>
          <w:gridAfter w:val="1"/>
          <w:wAfter w:w="74" w:type="dxa"/>
          <w:trHeight w:val="256"/>
        </w:trPr>
        <w:tc>
          <w:tcPr>
            <w:tcW w:w="3666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4" w:space="0" w:color="00FFFF"/>
            </w:tcBorders>
            <w:shd w:val="clear" w:color="00FFFF" w:fill="FFFFFF"/>
            <w:vAlign w:val="bottom"/>
          </w:tcPr>
          <w:p w:rsidR="00FC5452" w:rsidRDefault="00FC5452">
            <w:pPr>
              <w:spacing w:before="6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pour l’ensemble des APU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shd w:val="clear" w:color="00FFFF" w:fill="FFFFFF"/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4" w:space="0" w:color="00FFFF"/>
            </w:tcBorders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FFFF"/>
              <w:bottom w:val="nil"/>
              <w:right w:val="single" w:sz="4" w:space="0" w:color="00FFFF"/>
            </w:tcBorders>
            <w:shd w:val="clear" w:color="auto" w:fill="FFFFFF"/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FFFF"/>
              <w:bottom w:val="single" w:sz="8" w:space="0" w:color="00FFFF"/>
              <w:right w:val="single" w:sz="8" w:space="0" w:color="00FFFF"/>
            </w:tcBorders>
            <w:shd w:val="clear" w:color="00FFFF" w:fill="FFFFFF"/>
            <w:vAlign w:val="bottom"/>
          </w:tcPr>
          <w:p w:rsidR="00FC5452" w:rsidRDefault="00FC5452">
            <w:pPr>
              <w:spacing w:before="6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4.3  Description synthétique de la méthode d’évaluation utilisée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(Renseigner les éléments qui ont permis d’obtenir les éléments exposés aux rubriques 4.1 et 4.2 supra).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  Consultations menées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5.1  Consultations obligatoires (collectivités d’outre-mer, commissions administratives...)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(Rubrique à compléter en lien avec la rubrique 3.4 supra).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5.2  Consultations facultatives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  Mise en œuvre de la disposition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6.1  Liste prévisionnelle des textes d’application nécessaires</w:t>
      </w:r>
    </w:p>
    <w:p w:rsidR="00565DBE" w:rsidRDefault="00565DBE">
      <w:pPr>
        <w:spacing w:before="20"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(Rubrique à compléter en lien avec les  rubriques 1.2 et 3.2 supra).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6.2  Le cas échéant, moyens autres que budgétaires et juridiques nécessaires à la mise en place du dispositif proposé (formalités administratives, évolution de l’organisation administrative...)</w:t>
      </w:r>
    </w:p>
    <w:p w:rsidR="00565DBE" w:rsidRDefault="00565DBE">
      <w:pPr>
        <w:spacing w:before="20" w:after="120"/>
        <w:jc w:val="both"/>
        <w:rPr>
          <w:rFonts w:ascii="Arial" w:hAnsi="Arial" w:cs="Arial"/>
          <w:sz w:val="18"/>
          <w:szCs w:val="18"/>
        </w:rPr>
      </w:pPr>
    </w:p>
    <w:p w:rsidR="00565DBE" w:rsidRDefault="00565DBE">
      <w:pPr>
        <w:keepNext/>
        <w:spacing w:before="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6.3  Modalités de suivi de la disposition (durée d’application, évaluation)</w:t>
      </w:r>
    </w:p>
    <w:sectPr w:rsidR="00565DBE" w:rsidSect="00565DBE">
      <w:headerReference w:type="default" r:id="rId8"/>
      <w:footerReference w:type="first" r:id="rId9"/>
      <w:type w:val="continuous"/>
      <w:pgSz w:w="11907" w:h="16840" w:code="9"/>
      <w:pgMar w:top="1532" w:right="1134" w:bottom="1418" w:left="1134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BE" w:rsidRDefault="00565DBE">
      <w:r>
        <w:separator/>
      </w:r>
    </w:p>
  </w:endnote>
  <w:endnote w:type="continuationSeparator" w:id="0">
    <w:p w:rsidR="00565DBE" w:rsidRDefault="0056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BE" w:rsidRDefault="00565DBE">
    <w:pPr>
      <w:pStyle w:val="Pieddepage"/>
      <w:tabs>
        <w:tab w:val="center" w:pos="4820"/>
        <w:tab w:val="right" w:pos="10348"/>
      </w:tabs>
      <w:ind w:left="0" w:right="-1"/>
      <w:rPr>
        <w:smallCaps/>
        <w:sz w:val="14"/>
        <w:szCs w:val="14"/>
      </w:rPr>
    </w:pPr>
    <w:r>
      <w:tab/>
    </w:r>
    <w:r>
      <w:rPr>
        <w:smallCap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BE" w:rsidRDefault="00565DBE">
      <w:r>
        <w:separator/>
      </w:r>
    </w:p>
  </w:footnote>
  <w:footnote w:type="continuationSeparator" w:id="0">
    <w:p w:rsidR="00565DBE" w:rsidRDefault="00565DBE">
      <w:r>
        <w:continuationSeparator/>
      </w:r>
    </w:p>
  </w:footnote>
  <w:footnote w:id="1">
    <w:p w:rsidR="00565DBE" w:rsidRPr="007026B3" w:rsidRDefault="00565DBE">
      <w:pPr>
        <w:pStyle w:val="FPFexpogentexte9"/>
        <w:spacing w:before="0"/>
      </w:pPr>
      <w:r w:rsidRPr="007026B3">
        <w:rPr>
          <w:rStyle w:val="Appelnotedebasdep"/>
          <w:rFonts w:ascii="Arial" w:hAnsi="Arial" w:cs="Arial"/>
          <w:szCs w:val="20"/>
        </w:rPr>
        <w:footnoteRef/>
      </w:r>
      <w:r w:rsidRPr="007026B3">
        <w:rPr>
          <w:szCs w:val="20"/>
        </w:rPr>
        <w:t xml:space="preserve"> Dans chaque colonne doit être précisé le coût ou l’économie </w:t>
      </w:r>
      <w:proofErr w:type="gramStart"/>
      <w:r w:rsidRPr="007026B3">
        <w:rPr>
          <w:szCs w:val="20"/>
        </w:rPr>
        <w:t>net engendré</w:t>
      </w:r>
      <w:proofErr w:type="gramEnd"/>
      <w:r w:rsidRPr="007026B3">
        <w:rPr>
          <w:szCs w:val="20"/>
        </w:rPr>
        <w:t xml:space="preserve"> par le dispositif pour la seule année considérée, par rapport à la situation actuelle. Le coût ou l’économie pérenne désigne le coût ou l’économie induit par le nouveau dispositif, par rapport à la situation actuelle, en « régime de croisière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BE" w:rsidRDefault="00565DBE">
    <w:pPr>
      <w:pStyle w:val="En-tte"/>
      <w:ind w:right="141"/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71067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9A6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Titre1"/>
      <w:lvlText w:val="%1 -"/>
      <w:legacy w:legacy="1" w:legacySpace="0" w:legacyIndent="284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Titre2"/>
      <w:lvlText w:val="%2."/>
      <w:legacy w:legacy="1" w:legacySpace="0" w:legacyIndent="284"/>
      <w:lvlJc w:val="left"/>
      <w:rPr>
        <w:rFonts w:ascii="Times New Roman" w:hAnsi="Times New Roman" w:cs="Times New Roman"/>
      </w:rPr>
    </w:lvl>
    <w:lvl w:ilvl="2">
      <w:start w:val="1"/>
      <w:numFmt w:val="decimal"/>
      <w:pStyle w:val="Titre3"/>
      <w:lvlText w:val="%3."/>
      <w:legacy w:legacy="1" w:legacySpace="0" w:legacyIndent="284"/>
      <w:lvlJc w:val="left"/>
      <w:rPr>
        <w:rFonts w:ascii="Times New Roman" w:hAnsi="Times New Roman" w:cs="Times New Roman"/>
      </w:r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1560" w:hanging="708"/>
      </w:pPr>
      <w:rPr>
        <w:rFonts w:ascii="Times New Roman" w:hAnsi="Times New Roman" w:cs="Times New Roman"/>
      </w:r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2268" w:hanging="708"/>
      </w:pPr>
      <w:rPr>
        <w:rFonts w:ascii="Times New Roman" w:hAnsi="Times New Roman" w:cs="Times New Roman"/>
      </w:r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2976" w:hanging="708"/>
      </w:pPr>
      <w:rPr>
        <w:rFonts w:ascii="Times New Roman" w:hAnsi="Times New Roman" w:cs="Times New Roman"/>
      </w:r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3684" w:hanging="708"/>
      </w:pPr>
      <w:rPr>
        <w:rFonts w:ascii="Times New Roman" w:hAnsi="Times New Roman" w:cs="Times New Roman"/>
      </w:r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4392" w:hanging="708"/>
      </w:pPr>
      <w:rPr>
        <w:rFonts w:ascii="Times New Roman" w:hAnsi="Times New Roman" w:cs="Times New Roman"/>
      </w:r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100" w:hanging="708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AA21F50"/>
    <w:multiLevelType w:val="multilevel"/>
    <w:tmpl w:val="A956E4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218A6213"/>
    <w:multiLevelType w:val="multilevel"/>
    <w:tmpl w:val="8BE66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>
    <w:nsid w:val="2BCE2666"/>
    <w:multiLevelType w:val="hybridMultilevel"/>
    <w:tmpl w:val="7DD6E7AC"/>
    <w:lvl w:ilvl="0" w:tplc="73CCDC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5FB2199"/>
    <w:multiLevelType w:val="hybridMultilevel"/>
    <w:tmpl w:val="449EF678"/>
    <w:lvl w:ilvl="0" w:tplc="678A6F2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D641A4"/>
    <w:multiLevelType w:val="hybridMultilevel"/>
    <w:tmpl w:val="EE7A405A"/>
    <w:name w:val="WW8Num13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9765BD"/>
    <w:multiLevelType w:val="hybridMultilevel"/>
    <w:tmpl w:val="95B83146"/>
    <w:lvl w:ilvl="0" w:tplc="D07E0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6F456B"/>
    <w:multiLevelType w:val="hybridMultilevel"/>
    <w:tmpl w:val="A55C2FA4"/>
    <w:lvl w:ilvl="0" w:tplc="B066B0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86E32AC"/>
    <w:multiLevelType w:val="hybridMultilevel"/>
    <w:tmpl w:val="26200190"/>
    <w:lvl w:ilvl="0" w:tplc="1E002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C35FC">
      <w:start w:val="1"/>
      <w:numFmt w:val="lowerLetter"/>
      <w:lvlText w:val="%2."/>
      <w:lvlJc w:val="left"/>
      <w:pPr>
        <w:tabs>
          <w:tab w:val="num" w:pos="3585"/>
        </w:tabs>
        <w:ind w:left="3585" w:hanging="2505"/>
      </w:pPr>
      <w:rPr>
        <w:rFonts w:ascii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3D51ECB"/>
    <w:multiLevelType w:val="multilevel"/>
    <w:tmpl w:val="7AB27C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95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8"/>
        </w:tabs>
        <w:ind w:left="988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76"/>
        </w:tabs>
        <w:ind w:left="1976" w:hanging="1440"/>
      </w:pPr>
      <w:rPr>
        <w:rFonts w:ascii="Times New Roman" w:hAnsi="Times New Roman" w:cs="Times New Roman" w:hint="default"/>
      </w:rPr>
    </w:lvl>
  </w:abstractNum>
  <w:abstractNum w:abstractNumId="12">
    <w:nsid w:val="6DD1326A"/>
    <w:multiLevelType w:val="multilevel"/>
    <w:tmpl w:val="78D6364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linkStyles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E"/>
    <w:rsid w:val="0027230E"/>
    <w:rsid w:val="0038127C"/>
    <w:rsid w:val="00565DBE"/>
    <w:rsid w:val="007026B3"/>
    <w:rsid w:val="00702AAB"/>
    <w:rsid w:val="007305AA"/>
    <w:rsid w:val="00803828"/>
    <w:rsid w:val="008E5AA4"/>
    <w:rsid w:val="009B228A"/>
    <w:rsid w:val="009E60E4"/>
    <w:rsid w:val="00DD270C"/>
    <w:rsid w:val="00E36D2B"/>
    <w:rsid w:val="00E4184F"/>
    <w:rsid w:val="00F71067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E5AA4"/>
    <w:pPr>
      <w:spacing w:after="200" w:line="276" w:lineRule="auto"/>
    </w:pPr>
    <w:rPr>
      <w:rFonts w:eastAsiaTheme="minorHAnsi"/>
      <w:lang w:eastAsia="en-US"/>
    </w:rPr>
  </w:style>
  <w:style w:type="paragraph" w:styleId="Titre1">
    <w:name w:val="heading 1"/>
    <w:basedOn w:val="Normal"/>
    <w:next w:val="DBRetraitcorpsdetexte"/>
    <w:link w:val="Titre1Car"/>
    <w:uiPriority w:val="99"/>
    <w:qFormat/>
    <w:pPr>
      <w:numPr>
        <w:numId w:val="5"/>
      </w:numPr>
      <w:spacing w:before="240" w:after="120"/>
      <w:ind w:left="1134"/>
      <w:outlineLvl w:val="0"/>
    </w:pPr>
    <w:rPr>
      <w:b/>
      <w:bCs/>
      <w:u w:val="single"/>
    </w:rPr>
  </w:style>
  <w:style w:type="paragraph" w:styleId="Titre2">
    <w:name w:val="heading 2"/>
    <w:basedOn w:val="Normal"/>
    <w:next w:val="DBRetraitcorpsdetexte"/>
    <w:link w:val="Titre2Car"/>
    <w:uiPriority w:val="99"/>
    <w:qFormat/>
    <w:pPr>
      <w:numPr>
        <w:ilvl w:val="1"/>
        <w:numId w:val="5"/>
      </w:numPr>
      <w:spacing w:before="120" w:after="120"/>
      <w:ind w:left="1134"/>
      <w:outlineLvl w:val="1"/>
    </w:pPr>
    <w:rPr>
      <w:b/>
      <w:bCs/>
    </w:rPr>
  </w:style>
  <w:style w:type="paragraph" w:styleId="Titre3">
    <w:name w:val="heading 3"/>
    <w:basedOn w:val="Normal"/>
    <w:next w:val="DBRetraitcorpsdetexte"/>
    <w:link w:val="Titre3Car"/>
    <w:uiPriority w:val="99"/>
    <w:qFormat/>
    <w:pPr>
      <w:keepNext/>
      <w:numPr>
        <w:ilvl w:val="2"/>
        <w:numId w:val="5"/>
      </w:numPr>
      <w:spacing w:before="120" w:after="120"/>
      <w:ind w:left="1134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5"/>
      </w:num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5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  <w:rsid w:val="008E5AA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E5AA4"/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Pr>
      <w:rFonts w:ascii="Times New Roman" w:hAnsi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Pr>
      <w:rFonts w:ascii="Arial" w:hAnsi="Arial" w:cs="Arial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rPr>
      <w:rFonts w:ascii="Arial" w:hAnsi="Arial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Pr>
      <w:rFonts w:ascii="Arial" w:hAnsi="Arial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Arial" w:hAnsi="Arial" w:cs="Arial"/>
      <w:i/>
      <w:iCs/>
      <w:sz w:val="18"/>
      <w:szCs w:val="18"/>
    </w:rPr>
  </w:style>
  <w:style w:type="paragraph" w:styleId="Pieddepage">
    <w:name w:val="footer"/>
    <w:basedOn w:val="Normal"/>
    <w:next w:val="Normal"/>
    <w:link w:val="PieddepageCar"/>
    <w:uiPriority w:val="99"/>
    <w:pPr>
      <w:ind w:left="-1418" w:right="42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ind w:left="-1418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</w:rPr>
  </w:style>
  <w:style w:type="paragraph" w:customStyle="1" w:styleId="DBCorpsdetexte">
    <w:name w:val="DB Corps de texte"/>
    <w:basedOn w:val="Normal"/>
    <w:uiPriority w:val="99"/>
    <w:pPr>
      <w:spacing w:before="120" w:after="120"/>
      <w:jc w:val="both"/>
    </w:pPr>
  </w:style>
  <w:style w:type="paragraph" w:customStyle="1" w:styleId="DBen-ttetableau">
    <w:name w:val="DB en-tête tableau"/>
    <w:basedOn w:val="Normal"/>
    <w:uiPriority w:val="99"/>
    <w:pPr>
      <w:spacing w:before="120" w:after="120"/>
      <w:jc w:val="center"/>
    </w:pPr>
    <w:rPr>
      <w:b/>
      <w:bCs/>
    </w:rPr>
  </w:style>
  <w:style w:type="paragraph" w:customStyle="1" w:styleId="DBListenumros1">
    <w:name w:val="DB Liste à numéros 1"/>
    <w:basedOn w:val="Normal"/>
    <w:uiPriority w:val="99"/>
    <w:pPr>
      <w:spacing w:before="120" w:after="120"/>
      <w:ind w:left="1417" w:hanging="283"/>
      <w:jc w:val="both"/>
    </w:pPr>
  </w:style>
  <w:style w:type="paragraph" w:customStyle="1" w:styleId="DBListenumros2">
    <w:name w:val="DB Liste à numéros 2"/>
    <w:basedOn w:val="DBListenumros1"/>
    <w:uiPriority w:val="99"/>
    <w:pPr>
      <w:ind w:left="0" w:firstLine="1134"/>
    </w:pPr>
  </w:style>
  <w:style w:type="character" w:customStyle="1" w:styleId="DBanglais">
    <w:name w:val="DB anglais"/>
    <w:basedOn w:val="Policepardfaut"/>
    <w:uiPriority w:val="99"/>
    <w:rPr>
      <w:rFonts w:ascii="Times New Roman" w:hAnsi="Times New Roman" w:cs="Times New Roman"/>
      <w:i/>
      <w:iCs/>
      <w:noProof/>
      <w:lang w:val="en-US"/>
    </w:rPr>
  </w:style>
  <w:style w:type="paragraph" w:styleId="Listepuces">
    <w:name w:val="List Bullet"/>
    <w:basedOn w:val="Normal"/>
    <w:autoRedefine/>
    <w:uiPriority w:val="99"/>
    <w:pPr>
      <w:spacing w:before="60" w:after="60"/>
      <w:ind w:left="284" w:hanging="284"/>
      <w:jc w:val="both"/>
    </w:pPr>
  </w:style>
  <w:style w:type="paragraph" w:customStyle="1" w:styleId="DBRetraitcorpsdetexte">
    <w:name w:val="DB Retrait corps de texte"/>
    <w:basedOn w:val="Normal"/>
    <w:uiPriority w:val="99"/>
    <w:pPr>
      <w:spacing w:before="120" w:after="120"/>
      <w:ind w:firstLine="2268"/>
      <w:jc w:val="both"/>
    </w:pPr>
  </w:style>
  <w:style w:type="paragraph" w:customStyle="1" w:styleId="DBtextetableau">
    <w:name w:val="DB texte tableau"/>
    <w:basedOn w:val="Normal"/>
    <w:uiPriority w:val="99"/>
    <w:pPr>
      <w:spacing w:before="120" w:after="120"/>
    </w:pPr>
  </w:style>
  <w:style w:type="paragraph" w:customStyle="1" w:styleId="DBtitretableau">
    <w:name w:val="DB titre tableau"/>
    <w:basedOn w:val="Normal"/>
    <w:next w:val="DBen-ttetableau"/>
    <w:uiPriority w:val="99"/>
    <w:pPr>
      <w:keepNext/>
      <w:spacing w:before="480" w:after="240"/>
      <w:jc w:val="center"/>
    </w:pPr>
    <w:rPr>
      <w:b/>
      <w:bCs/>
      <w:smallCaps/>
      <w:u w:val="single"/>
    </w:rPr>
  </w:style>
  <w:style w:type="paragraph" w:styleId="Notedebasdepage">
    <w:name w:val="footnote text"/>
    <w:basedOn w:val="Normal"/>
    <w:link w:val="NotedebasdepageCar"/>
    <w:uiPriority w:val="99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dresse">
    <w:name w:val="adresse"/>
    <w:basedOn w:val="Normal"/>
    <w:uiPriority w:val="99"/>
    <w:pPr>
      <w:spacing w:line="230" w:lineRule="exact"/>
    </w:pPr>
    <w:rPr>
      <w:rFonts w:ascii="Arial" w:hAnsi="Arial" w:cs="Arial"/>
      <w:caps/>
      <w:spacing w:val="12"/>
      <w:sz w:val="12"/>
      <w:szCs w:val="12"/>
    </w:rPr>
  </w:style>
  <w:style w:type="paragraph" w:customStyle="1" w:styleId="affairesuivie">
    <w:name w:val="affaire suivie"/>
    <w:basedOn w:val="Notedebasdepage"/>
    <w:uiPriority w:val="99"/>
    <w:pPr>
      <w:spacing w:line="230" w:lineRule="exact"/>
      <w:jc w:val="left"/>
    </w:pPr>
    <w:rPr>
      <w:spacing w:val="12"/>
      <w:sz w:val="22"/>
      <w:szCs w:val="22"/>
    </w:rPr>
  </w:style>
  <w:style w:type="paragraph" w:customStyle="1" w:styleId="Date1">
    <w:name w:val="Date1"/>
    <w:basedOn w:val="Normal"/>
    <w:uiPriority w:val="99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destinataire">
    <w:name w:val="destinataire"/>
    <w:basedOn w:val="Titre3"/>
    <w:uiPriority w:val="99"/>
    <w:pPr>
      <w:numPr>
        <w:ilvl w:val="0"/>
        <w:numId w:val="0"/>
      </w:numPr>
      <w:tabs>
        <w:tab w:val="left" w:pos="6804"/>
      </w:tabs>
      <w:spacing w:after="0" w:line="260" w:lineRule="exact"/>
    </w:pPr>
    <w:rPr>
      <w:spacing w:val="12"/>
    </w:rPr>
  </w:style>
  <w:style w:type="paragraph" w:customStyle="1" w:styleId="dircom1religne">
    <w:name w:val="dircom 1re ligne"/>
    <w:basedOn w:val="Normal"/>
    <w:uiPriority w:val="99"/>
    <w:pPr>
      <w:tabs>
        <w:tab w:val="left" w:pos="6804"/>
      </w:tabs>
      <w:spacing w:before="160" w:line="230" w:lineRule="exact"/>
    </w:pPr>
    <w:rPr>
      <w:rFonts w:ascii="Arial" w:hAnsi="Arial" w:cs="Arial"/>
      <w:caps/>
      <w:spacing w:val="12"/>
      <w:sz w:val="13"/>
      <w:szCs w:val="13"/>
    </w:rPr>
  </w:style>
  <w:style w:type="paragraph" w:customStyle="1" w:styleId="objet">
    <w:name w:val="objet"/>
    <w:basedOn w:val="Normal"/>
    <w:uiPriority w:val="99"/>
    <w:pPr>
      <w:spacing w:before="120" w:line="260" w:lineRule="exact"/>
    </w:pPr>
    <w:rPr>
      <w:b/>
      <w:bCs/>
      <w:spacing w:val="12"/>
    </w:rPr>
  </w:style>
  <w:style w:type="paragraph" w:customStyle="1" w:styleId="reference">
    <w:name w:val="reference"/>
    <w:basedOn w:val="Normal"/>
    <w:uiPriority w:val="99"/>
    <w:pPr>
      <w:spacing w:before="120" w:line="260" w:lineRule="exact"/>
    </w:pPr>
    <w:rPr>
      <w:spacing w:val="12"/>
    </w:rPr>
  </w:style>
  <w:style w:type="paragraph" w:customStyle="1" w:styleId="teledoc">
    <w:name w:val="teledoc"/>
    <w:basedOn w:val="Normal"/>
    <w:uiPriority w:val="99"/>
    <w:pPr>
      <w:spacing w:before="60" w:line="230" w:lineRule="exact"/>
    </w:pPr>
    <w:rPr>
      <w:rFonts w:ascii="Arial" w:hAnsi="Arial" w:cs="Arial"/>
      <w:caps/>
      <w:spacing w:val="12"/>
      <w:sz w:val="12"/>
      <w:szCs w:val="12"/>
    </w:rPr>
  </w:style>
  <w:style w:type="paragraph" w:styleId="Corpsdetexte">
    <w:name w:val="Body Text"/>
    <w:basedOn w:val="Normal"/>
    <w:link w:val="CorpsdetexteCar"/>
    <w:uiPriority w:val="99"/>
    <w:pPr>
      <w:spacing w:before="120" w:after="240"/>
      <w:jc w:val="center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customStyle="1" w:styleId="Date2">
    <w:name w:val="Date2"/>
    <w:basedOn w:val="Normal"/>
    <w:uiPriority w:val="99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FPFexpogentexte9">
    <w:name w:val="FPFexpogentexte9"/>
    <w:basedOn w:val="Normal"/>
    <w:uiPriority w:val="99"/>
    <w:pPr>
      <w:spacing w:before="2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63" w:right="188"/>
    </w:pPr>
    <w:rPr>
      <w:rFonts w:ascii="Arial" w:hAnsi="Arial" w:cs="Arial"/>
      <w:sz w:val="20"/>
      <w:szCs w:val="20"/>
    </w:rPr>
  </w:style>
  <w:style w:type="paragraph" w:customStyle="1" w:styleId="FPFTABLt8">
    <w:name w:val="FPFTABLt8"/>
    <w:basedOn w:val="Normal"/>
    <w:uiPriority w:val="99"/>
    <w:pPr>
      <w:spacing w:before="20" w:after="20"/>
    </w:pPr>
    <w:rPr>
      <w:rFonts w:ascii="Arial" w:hAnsi="Arial" w:cs="Arial"/>
      <w:sz w:val="16"/>
      <w:szCs w:val="16"/>
    </w:rPr>
  </w:style>
  <w:style w:type="paragraph" w:customStyle="1" w:styleId="FPFprojetloiartexte">
    <w:name w:val="FPFprojetloiartexte"/>
    <w:basedOn w:val="Normal"/>
    <w:uiPriority w:val="99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FPFprojetloiexpotexte">
    <w:name w:val="FPFprojetloiexpotexte"/>
    <w:basedOn w:val="Normal"/>
    <w:uiPriority w:val="99"/>
    <w:pPr>
      <w:pBdr>
        <w:left w:val="single" w:sz="12" w:space="4" w:color="00FFFF"/>
      </w:pBd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character" w:customStyle="1" w:styleId="Marquedecommentaire1">
    <w:name w:val="Marque de commentaire1"/>
    <w:uiPriority w:val="99"/>
    <w:rPr>
      <w:sz w:val="16"/>
      <w:szCs w:val="16"/>
    </w:rPr>
  </w:style>
  <w:style w:type="character" w:styleId="Marquedecommentaire">
    <w:name w:val="annotation reference"/>
    <w:basedOn w:val="Policepardfaut"/>
    <w:uiPriority w:val="99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uiPriority w:val="99"/>
    <w:qFormat/>
    <w:pPr>
      <w:ind w:left="708"/>
    </w:pPr>
  </w:style>
  <w:style w:type="paragraph" w:customStyle="1" w:styleId="western">
    <w:name w:val="western"/>
    <w:basedOn w:val="Normal"/>
    <w:uiPriority w:val="99"/>
    <w:pPr>
      <w:spacing w:before="119" w:after="238"/>
      <w:jc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E5AA4"/>
    <w:pPr>
      <w:spacing w:after="200" w:line="276" w:lineRule="auto"/>
    </w:pPr>
    <w:rPr>
      <w:rFonts w:eastAsiaTheme="minorHAnsi"/>
      <w:lang w:eastAsia="en-US"/>
    </w:rPr>
  </w:style>
  <w:style w:type="paragraph" w:styleId="Titre1">
    <w:name w:val="heading 1"/>
    <w:basedOn w:val="Normal"/>
    <w:next w:val="DBRetraitcorpsdetexte"/>
    <w:link w:val="Titre1Car"/>
    <w:uiPriority w:val="99"/>
    <w:qFormat/>
    <w:pPr>
      <w:numPr>
        <w:numId w:val="5"/>
      </w:numPr>
      <w:spacing w:before="240" w:after="120"/>
      <w:ind w:left="1134"/>
      <w:outlineLvl w:val="0"/>
    </w:pPr>
    <w:rPr>
      <w:b/>
      <w:bCs/>
      <w:u w:val="single"/>
    </w:rPr>
  </w:style>
  <w:style w:type="paragraph" w:styleId="Titre2">
    <w:name w:val="heading 2"/>
    <w:basedOn w:val="Normal"/>
    <w:next w:val="DBRetraitcorpsdetexte"/>
    <w:link w:val="Titre2Car"/>
    <w:uiPriority w:val="99"/>
    <w:qFormat/>
    <w:pPr>
      <w:numPr>
        <w:ilvl w:val="1"/>
        <w:numId w:val="5"/>
      </w:numPr>
      <w:spacing w:before="120" w:after="120"/>
      <w:ind w:left="1134"/>
      <w:outlineLvl w:val="1"/>
    </w:pPr>
    <w:rPr>
      <w:b/>
      <w:bCs/>
    </w:rPr>
  </w:style>
  <w:style w:type="paragraph" w:styleId="Titre3">
    <w:name w:val="heading 3"/>
    <w:basedOn w:val="Normal"/>
    <w:next w:val="DBRetraitcorpsdetexte"/>
    <w:link w:val="Titre3Car"/>
    <w:uiPriority w:val="99"/>
    <w:qFormat/>
    <w:pPr>
      <w:keepNext/>
      <w:numPr>
        <w:ilvl w:val="2"/>
        <w:numId w:val="5"/>
      </w:numPr>
      <w:spacing w:before="120" w:after="120"/>
      <w:ind w:left="1134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5"/>
      </w:num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5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  <w:rsid w:val="008E5AA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E5AA4"/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Pr>
      <w:rFonts w:ascii="Times New Roman" w:hAnsi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Pr>
      <w:rFonts w:ascii="Arial" w:hAnsi="Arial" w:cs="Arial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rPr>
      <w:rFonts w:ascii="Arial" w:hAnsi="Arial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Pr>
      <w:rFonts w:ascii="Arial" w:hAnsi="Arial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Arial" w:hAnsi="Arial" w:cs="Arial"/>
      <w:i/>
      <w:iCs/>
      <w:sz w:val="18"/>
      <w:szCs w:val="18"/>
    </w:rPr>
  </w:style>
  <w:style w:type="paragraph" w:styleId="Pieddepage">
    <w:name w:val="footer"/>
    <w:basedOn w:val="Normal"/>
    <w:next w:val="Normal"/>
    <w:link w:val="PieddepageCar"/>
    <w:uiPriority w:val="99"/>
    <w:pPr>
      <w:ind w:left="-1418" w:right="42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ind w:left="-1418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</w:rPr>
  </w:style>
  <w:style w:type="paragraph" w:customStyle="1" w:styleId="DBCorpsdetexte">
    <w:name w:val="DB Corps de texte"/>
    <w:basedOn w:val="Normal"/>
    <w:uiPriority w:val="99"/>
    <w:pPr>
      <w:spacing w:before="120" w:after="120"/>
      <w:jc w:val="both"/>
    </w:pPr>
  </w:style>
  <w:style w:type="paragraph" w:customStyle="1" w:styleId="DBen-ttetableau">
    <w:name w:val="DB en-tête tableau"/>
    <w:basedOn w:val="Normal"/>
    <w:uiPriority w:val="99"/>
    <w:pPr>
      <w:spacing w:before="120" w:after="120"/>
      <w:jc w:val="center"/>
    </w:pPr>
    <w:rPr>
      <w:b/>
      <w:bCs/>
    </w:rPr>
  </w:style>
  <w:style w:type="paragraph" w:customStyle="1" w:styleId="DBListenumros1">
    <w:name w:val="DB Liste à numéros 1"/>
    <w:basedOn w:val="Normal"/>
    <w:uiPriority w:val="99"/>
    <w:pPr>
      <w:spacing w:before="120" w:after="120"/>
      <w:ind w:left="1417" w:hanging="283"/>
      <w:jc w:val="both"/>
    </w:pPr>
  </w:style>
  <w:style w:type="paragraph" w:customStyle="1" w:styleId="DBListenumros2">
    <w:name w:val="DB Liste à numéros 2"/>
    <w:basedOn w:val="DBListenumros1"/>
    <w:uiPriority w:val="99"/>
    <w:pPr>
      <w:ind w:left="0" w:firstLine="1134"/>
    </w:pPr>
  </w:style>
  <w:style w:type="character" w:customStyle="1" w:styleId="DBanglais">
    <w:name w:val="DB anglais"/>
    <w:basedOn w:val="Policepardfaut"/>
    <w:uiPriority w:val="99"/>
    <w:rPr>
      <w:rFonts w:ascii="Times New Roman" w:hAnsi="Times New Roman" w:cs="Times New Roman"/>
      <w:i/>
      <w:iCs/>
      <w:noProof/>
      <w:lang w:val="en-US"/>
    </w:rPr>
  </w:style>
  <w:style w:type="paragraph" w:styleId="Listepuces">
    <w:name w:val="List Bullet"/>
    <w:basedOn w:val="Normal"/>
    <w:autoRedefine/>
    <w:uiPriority w:val="99"/>
    <w:pPr>
      <w:spacing w:before="60" w:after="60"/>
      <w:ind w:left="284" w:hanging="284"/>
      <w:jc w:val="both"/>
    </w:pPr>
  </w:style>
  <w:style w:type="paragraph" w:customStyle="1" w:styleId="DBRetraitcorpsdetexte">
    <w:name w:val="DB Retrait corps de texte"/>
    <w:basedOn w:val="Normal"/>
    <w:uiPriority w:val="99"/>
    <w:pPr>
      <w:spacing w:before="120" w:after="120"/>
      <w:ind w:firstLine="2268"/>
      <w:jc w:val="both"/>
    </w:pPr>
  </w:style>
  <w:style w:type="paragraph" w:customStyle="1" w:styleId="DBtextetableau">
    <w:name w:val="DB texte tableau"/>
    <w:basedOn w:val="Normal"/>
    <w:uiPriority w:val="99"/>
    <w:pPr>
      <w:spacing w:before="120" w:after="120"/>
    </w:pPr>
  </w:style>
  <w:style w:type="paragraph" w:customStyle="1" w:styleId="DBtitretableau">
    <w:name w:val="DB titre tableau"/>
    <w:basedOn w:val="Normal"/>
    <w:next w:val="DBen-ttetableau"/>
    <w:uiPriority w:val="99"/>
    <w:pPr>
      <w:keepNext/>
      <w:spacing w:before="480" w:after="240"/>
      <w:jc w:val="center"/>
    </w:pPr>
    <w:rPr>
      <w:b/>
      <w:bCs/>
      <w:smallCaps/>
      <w:u w:val="single"/>
    </w:rPr>
  </w:style>
  <w:style w:type="paragraph" w:styleId="Notedebasdepage">
    <w:name w:val="footnote text"/>
    <w:basedOn w:val="Normal"/>
    <w:link w:val="NotedebasdepageCar"/>
    <w:uiPriority w:val="99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dresse">
    <w:name w:val="adresse"/>
    <w:basedOn w:val="Normal"/>
    <w:uiPriority w:val="99"/>
    <w:pPr>
      <w:spacing w:line="230" w:lineRule="exact"/>
    </w:pPr>
    <w:rPr>
      <w:rFonts w:ascii="Arial" w:hAnsi="Arial" w:cs="Arial"/>
      <w:caps/>
      <w:spacing w:val="12"/>
      <w:sz w:val="12"/>
      <w:szCs w:val="12"/>
    </w:rPr>
  </w:style>
  <w:style w:type="paragraph" w:customStyle="1" w:styleId="affairesuivie">
    <w:name w:val="affaire suivie"/>
    <w:basedOn w:val="Notedebasdepage"/>
    <w:uiPriority w:val="99"/>
    <w:pPr>
      <w:spacing w:line="230" w:lineRule="exact"/>
      <w:jc w:val="left"/>
    </w:pPr>
    <w:rPr>
      <w:spacing w:val="12"/>
      <w:sz w:val="22"/>
      <w:szCs w:val="22"/>
    </w:rPr>
  </w:style>
  <w:style w:type="paragraph" w:customStyle="1" w:styleId="Date1">
    <w:name w:val="Date1"/>
    <w:basedOn w:val="Normal"/>
    <w:uiPriority w:val="99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destinataire">
    <w:name w:val="destinataire"/>
    <w:basedOn w:val="Titre3"/>
    <w:uiPriority w:val="99"/>
    <w:pPr>
      <w:numPr>
        <w:ilvl w:val="0"/>
        <w:numId w:val="0"/>
      </w:numPr>
      <w:tabs>
        <w:tab w:val="left" w:pos="6804"/>
      </w:tabs>
      <w:spacing w:after="0" w:line="260" w:lineRule="exact"/>
    </w:pPr>
    <w:rPr>
      <w:spacing w:val="12"/>
    </w:rPr>
  </w:style>
  <w:style w:type="paragraph" w:customStyle="1" w:styleId="dircom1religne">
    <w:name w:val="dircom 1re ligne"/>
    <w:basedOn w:val="Normal"/>
    <w:uiPriority w:val="99"/>
    <w:pPr>
      <w:tabs>
        <w:tab w:val="left" w:pos="6804"/>
      </w:tabs>
      <w:spacing w:before="160" w:line="230" w:lineRule="exact"/>
    </w:pPr>
    <w:rPr>
      <w:rFonts w:ascii="Arial" w:hAnsi="Arial" w:cs="Arial"/>
      <w:caps/>
      <w:spacing w:val="12"/>
      <w:sz w:val="13"/>
      <w:szCs w:val="13"/>
    </w:rPr>
  </w:style>
  <w:style w:type="paragraph" w:customStyle="1" w:styleId="objet">
    <w:name w:val="objet"/>
    <w:basedOn w:val="Normal"/>
    <w:uiPriority w:val="99"/>
    <w:pPr>
      <w:spacing w:before="120" w:line="260" w:lineRule="exact"/>
    </w:pPr>
    <w:rPr>
      <w:b/>
      <w:bCs/>
      <w:spacing w:val="12"/>
    </w:rPr>
  </w:style>
  <w:style w:type="paragraph" w:customStyle="1" w:styleId="reference">
    <w:name w:val="reference"/>
    <w:basedOn w:val="Normal"/>
    <w:uiPriority w:val="99"/>
    <w:pPr>
      <w:spacing w:before="120" w:line="260" w:lineRule="exact"/>
    </w:pPr>
    <w:rPr>
      <w:spacing w:val="12"/>
    </w:rPr>
  </w:style>
  <w:style w:type="paragraph" w:customStyle="1" w:styleId="teledoc">
    <w:name w:val="teledoc"/>
    <w:basedOn w:val="Normal"/>
    <w:uiPriority w:val="99"/>
    <w:pPr>
      <w:spacing w:before="60" w:line="230" w:lineRule="exact"/>
    </w:pPr>
    <w:rPr>
      <w:rFonts w:ascii="Arial" w:hAnsi="Arial" w:cs="Arial"/>
      <w:caps/>
      <w:spacing w:val="12"/>
      <w:sz w:val="12"/>
      <w:szCs w:val="12"/>
    </w:rPr>
  </w:style>
  <w:style w:type="paragraph" w:styleId="Corpsdetexte">
    <w:name w:val="Body Text"/>
    <w:basedOn w:val="Normal"/>
    <w:link w:val="CorpsdetexteCar"/>
    <w:uiPriority w:val="99"/>
    <w:pPr>
      <w:spacing w:before="120" w:after="240"/>
      <w:jc w:val="center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customStyle="1" w:styleId="Date2">
    <w:name w:val="Date2"/>
    <w:basedOn w:val="Normal"/>
    <w:uiPriority w:val="99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FPFexpogentexte9">
    <w:name w:val="FPFexpogentexte9"/>
    <w:basedOn w:val="Normal"/>
    <w:uiPriority w:val="99"/>
    <w:pPr>
      <w:spacing w:before="2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63" w:right="188"/>
    </w:pPr>
    <w:rPr>
      <w:rFonts w:ascii="Arial" w:hAnsi="Arial" w:cs="Arial"/>
      <w:sz w:val="20"/>
      <w:szCs w:val="20"/>
    </w:rPr>
  </w:style>
  <w:style w:type="paragraph" w:customStyle="1" w:styleId="FPFTABLt8">
    <w:name w:val="FPFTABLt8"/>
    <w:basedOn w:val="Normal"/>
    <w:uiPriority w:val="99"/>
    <w:pPr>
      <w:spacing w:before="20" w:after="20"/>
    </w:pPr>
    <w:rPr>
      <w:rFonts w:ascii="Arial" w:hAnsi="Arial" w:cs="Arial"/>
      <w:sz w:val="16"/>
      <w:szCs w:val="16"/>
    </w:rPr>
  </w:style>
  <w:style w:type="paragraph" w:customStyle="1" w:styleId="FPFprojetloiartexte">
    <w:name w:val="FPFprojetloiartexte"/>
    <w:basedOn w:val="Normal"/>
    <w:uiPriority w:val="99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FPFprojetloiexpotexte">
    <w:name w:val="FPFprojetloiexpotexte"/>
    <w:basedOn w:val="Normal"/>
    <w:uiPriority w:val="99"/>
    <w:pPr>
      <w:pBdr>
        <w:left w:val="single" w:sz="12" w:space="4" w:color="00FFFF"/>
      </w:pBd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character" w:customStyle="1" w:styleId="Marquedecommentaire1">
    <w:name w:val="Marque de commentaire1"/>
    <w:uiPriority w:val="99"/>
    <w:rPr>
      <w:sz w:val="16"/>
      <w:szCs w:val="16"/>
    </w:rPr>
  </w:style>
  <w:style w:type="character" w:styleId="Marquedecommentaire">
    <w:name w:val="annotation reference"/>
    <w:basedOn w:val="Policepardfaut"/>
    <w:uiPriority w:val="99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uiPriority w:val="99"/>
    <w:qFormat/>
    <w:pPr>
      <w:ind w:left="708"/>
    </w:pPr>
  </w:style>
  <w:style w:type="paragraph" w:customStyle="1" w:styleId="western">
    <w:name w:val="western"/>
    <w:basedOn w:val="Normal"/>
    <w:uiPriority w:val="99"/>
    <w:pPr>
      <w:spacing w:before="119" w:after="238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819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TÉLÉDOC</vt:lpstr>
    </vt:vector>
  </TitlesOfParts>
  <Company>MINEFI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TÉLÉDOC</dc:title>
  <dc:subject>Circulaire -</dc:subject>
  <dc:creator>clement.demas@finances.gouv.fr</dc:creator>
  <cp:lastModifiedBy>BELKHIR Farida</cp:lastModifiedBy>
  <cp:revision>11</cp:revision>
  <cp:lastPrinted>2017-07-05T17:53:00Z</cp:lastPrinted>
  <dcterms:created xsi:type="dcterms:W3CDTF">2017-06-12T12:16:00Z</dcterms:created>
  <dcterms:modified xsi:type="dcterms:W3CDTF">2017-07-05T17:53:00Z</dcterms:modified>
</cp:coreProperties>
</file>