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83" w:rsidRPr="00756594" w:rsidRDefault="00442483" w:rsidP="00442483">
      <w:pPr>
        <w:keepLines w:val="0"/>
        <w:spacing w:before="20" w:after="80"/>
        <w:jc w:val="center"/>
        <w:rPr>
          <w:b/>
          <w:bCs/>
          <w:szCs w:val="22"/>
        </w:rPr>
      </w:pPr>
      <w:r>
        <w:rPr>
          <w:b/>
          <w:bCs/>
          <w:szCs w:val="22"/>
        </w:rPr>
        <w:t>ANNEXE 3</w:t>
      </w:r>
    </w:p>
    <w:p w:rsidR="00E13BE1" w:rsidRPr="00756594" w:rsidRDefault="002901E3" w:rsidP="00E13BE1">
      <w:pPr>
        <w:keepLines w:val="0"/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3" w:color="auto" w:shadow="1"/>
        </w:pBdr>
        <w:tabs>
          <w:tab w:val="left" w:pos="12060"/>
          <w:tab w:val="left" w:pos="12960"/>
        </w:tabs>
        <w:spacing w:before="60" w:after="60"/>
        <w:ind w:left="2340" w:right="2700"/>
        <w:jc w:val="center"/>
        <w:rPr>
          <w:rFonts w:ascii="Arial" w:hAnsi="Arial" w:cs="Arial"/>
          <w:b/>
          <w:bCs/>
          <w:spacing w:val="16"/>
          <w:kern w:val="3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1E3">
        <w:rPr>
          <w:rFonts w:ascii="Arial" w:hAnsi="Arial" w:cs="Arial"/>
          <w:b/>
          <w:bCs/>
          <w:spacing w:val="16"/>
          <w:kern w:val="3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PLF 2016 / PLFR 2015</w:t>
      </w:r>
      <w:r w:rsidR="00E13BE1" w:rsidRPr="00756594">
        <w:rPr>
          <w:rFonts w:ascii="Arial" w:hAnsi="Arial" w:cs="Arial"/>
          <w:b/>
          <w:bCs/>
          <w:spacing w:val="16"/>
          <w:kern w:val="3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13BE1" w:rsidRPr="00756594">
        <w:rPr>
          <w:rFonts w:ascii="Arial" w:hAnsi="Arial" w:cs="Arial"/>
          <w:b/>
          <w:bCs/>
          <w:spacing w:val="16"/>
          <w:kern w:val="3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projet d’article</w:t>
      </w:r>
    </w:p>
    <w:p w:rsidR="00E13BE1" w:rsidRPr="00756594" w:rsidRDefault="00E13BE1" w:rsidP="00E13BE1">
      <w:pPr>
        <w:keepLines w:val="0"/>
        <w:spacing w:before="480"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162"/>
      </w:tblGrid>
      <w:tr w:rsidR="00E13BE1" w:rsidRPr="00756594" w:rsidTr="0016067A">
        <w:tc>
          <w:tcPr>
            <w:tcW w:w="4307" w:type="dxa"/>
            <w:tcBorders>
              <w:bottom w:val="nil"/>
            </w:tcBorders>
          </w:tcPr>
          <w:p w:rsidR="00E13BE1" w:rsidRPr="00756594" w:rsidRDefault="00E13BE1" w:rsidP="0016067A">
            <w:pPr>
              <w:keepLines w:val="0"/>
              <w:tabs>
                <w:tab w:val="right" w:pos="6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594">
              <w:rPr>
                <w:rFonts w:ascii="Arial" w:hAnsi="Arial" w:cs="Arial"/>
                <w:sz w:val="20"/>
                <w:szCs w:val="20"/>
              </w:rPr>
              <w:t>Titre :</w:t>
            </w:r>
          </w:p>
        </w:tc>
        <w:tc>
          <w:tcPr>
            <w:tcW w:w="5162" w:type="dxa"/>
            <w:tcBorders>
              <w:bottom w:val="nil"/>
            </w:tcBorders>
          </w:tcPr>
          <w:p w:rsidR="00E13BE1" w:rsidRPr="00756594" w:rsidRDefault="00E13BE1" w:rsidP="0016067A">
            <w:pPr>
              <w:keepLines w:val="0"/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594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13BE1" w:rsidRPr="00756594" w:rsidTr="0016067A">
        <w:tc>
          <w:tcPr>
            <w:tcW w:w="4307" w:type="dxa"/>
            <w:tcBorders>
              <w:top w:val="nil"/>
              <w:bottom w:val="nil"/>
            </w:tcBorders>
          </w:tcPr>
          <w:p w:rsidR="00E13BE1" w:rsidRPr="00756594" w:rsidRDefault="00E13BE1" w:rsidP="0016067A">
            <w:pPr>
              <w:keepLines w:val="0"/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594">
              <w:rPr>
                <w:rFonts w:ascii="Arial" w:hAnsi="Arial" w:cs="Arial"/>
                <w:sz w:val="20"/>
                <w:szCs w:val="20"/>
              </w:rPr>
              <w:t>Projet émanant de :</w:t>
            </w:r>
          </w:p>
        </w:tc>
        <w:tc>
          <w:tcPr>
            <w:tcW w:w="5162" w:type="dxa"/>
            <w:tcBorders>
              <w:top w:val="nil"/>
              <w:bottom w:val="nil"/>
            </w:tcBorders>
          </w:tcPr>
          <w:p w:rsidR="00E13BE1" w:rsidRPr="00756594" w:rsidRDefault="00E13BE1" w:rsidP="0016067A">
            <w:pPr>
              <w:keepLines w:val="0"/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594">
              <w:rPr>
                <w:rFonts w:ascii="Arial" w:hAnsi="Arial" w:cs="Arial"/>
                <w:b/>
                <w:bCs/>
                <w:sz w:val="20"/>
                <w:szCs w:val="20"/>
              </w:rPr>
              <w:t>Ministère de …  / Direction …</w:t>
            </w:r>
          </w:p>
        </w:tc>
      </w:tr>
      <w:tr w:rsidR="00E13BE1" w:rsidRPr="00756594" w:rsidTr="0016067A">
        <w:tc>
          <w:tcPr>
            <w:tcW w:w="4307" w:type="dxa"/>
            <w:tcBorders>
              <w:top w:val="nil"/>
              <w:bottom w:val="nil"/>
            </w:tcBorders>
          </w:tcPr>
          <w:p w:rsidR="00E13BE1" w:rsidRPr="00756594" w:rsidRDefault="00E13BE1" w:rsidP="0016067A">
            <w:pPr>
              <w:keepLines w:val="0"/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594">
              <w:rPr>
                <w:rFonts w:ascii="Arial" w:hAnsi="Arial" w:cs="Arial"/>
                <w:sz w:val="20"/>
                <w:szCs w:val="20"/>
              </w:rPr>
              <w:t>Place au sein du PLF :</w:t>
            </w:r>
          </w:p>
        </w:tc>
        <w:tc>
          <w:tcPr>
            <w:tcW w:w="5162" w:type="dxa"/>
            <w:tcBorders>
              <w:top w:val="nil"/>
              <w:bottom w:val="nil"/>
            </w:tcBorders>
          </w:tcPr>
          <w:p w:rsidR="00E13BE1" w:rsidRPr="00756594" w:rsidRDefault="00E13BE1" w:rsidP="00964226">
            <w:pPr>
              <w:keepLines w:val="0"/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5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565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re</w:t>
            </w:r>
            <w:r w:rsidRPr="0075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 / 2</w:t>
            </w:r>
            <w:r w:rsidRPr="007565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75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</w:t>
            </w:r>
          </w:p>
        </w:tc>
      </w:tr>
      <w:tr w:rsidR="00E13BE1" w:rsidRPr="00756594" w:rsidTr="0016067A">
        <w:tc>
          <w:tcPr>
            <w:tcW w:w="4307" w:type="dxa"/>
            <w:tcBorders>
              <w:top w:val="nil"/>
            </w:tcBorders>
          </w:tcPr>
          <w:p w:rsidR="00E13BE1" w:rsidRPr="00756594" w:rsidRDefault="00E13BE1" w:rsidP="0016067A">
            <w:pPr>
              <w:keepLines w:val="0"/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594">
              <w:rPr>
                <w:rFonts w:ascii="Arial" w:hAnsi="Arial" w:cs="Arial"/>
                <w:sz w:val="20"/>
                <w:szCs w:val="20"/>
              </w:rPr>
              <w:t>Coût / économie résultant de la mise en œuvre des dispositions (en M€) :</w:t>
            </w:r>
          </w:p>
          <w:p w:rsidR="00E13BE1" w:rsidRPr="00756594" w:rsidRDefault="00E13BE1" w:rsidP="0016067A">
            <w:pPr>
              <w:keepLines w:val="0"/>
              <w:tabs>
                <w:tab w:val="right" w:pos="64"/>
                <w:tab w:val="right" w:pos="284"/>
              </w:tabs>
              <w:spacing w:before="60" w:after="60"/>
              <w:ind w:righ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594">
              <w:rPr>
                <w:rFonts w:ascii="Arial" w:hAnsi="Arial" w:cs="Arial"/>
                <w:sz w:val="20"/>
                <w:szCs w:val="20"/>
              </w:rPr>
              <w:t>Rattachement budgétaire (le cas échéant) :</w:t>
            </w:r>
          </w:p>
        </w:tc>
        <w:tc>
          <w:tcPr>
            <w:tcW w:w="5162" w:type="dxa"/>
            <w:tcBorders>
              <w:top w:val="nil"/>
            </w:tcBorders>
          </w:tcPr>
          <w:p w:rsidR="00E13BE1" w:rsidRPr="00756594" w:rsidRDefault="00E13BE1" w:rsidP="0016067A">
            <w:pPr>
              <w:keepLines w:val="0"/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59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NÉANT / X M€ (recettes / dépenses)</w:t>
            </w:r>
          </w:p>
          <w:p w:rsidR="00E13BE1" w:rsidRPr="00756594" w:rsidRDefault="00964226" w:rsidP="0016067A">
            <w:pPr>
              <w:keepLines w:val="0"/>
              <w:spacing w:before="60" w:after="60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Mission / Prog</w:t>
            </w:r>
            <w:r w:rsidR="0044248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amme</w:t>
            </w:r>
          </w:p>
        </w:tc>
      </w:tr>
    </w:tbl>
    <w:p w:rsidR="00E13BE1" w:rsidRPr="00756594" w:rsidRDefault="00E13BE1" w:rsidP="00E13BE1">
      <w:pPr>
        <w:keepLines w:val="0"/>
        <w:spacing w:before="360" w:after="60"/>
        <w:jc w:val="both"/>
        <w:rPr>
          <w:rFonts w:ascii="Arial" w:hAnsi="Arial" w:cs="Arial"/>
          <w:sz w:val="20"/>
          <w:szCs w:val="20"/>
        </w:rPr>
      </w:pPr>
    </w:p>
    <w:p w:rsidR="00E13BE1" w:rsidRPr="00756594" w:rsidRDefault="00E13BE1" w:rsidP="00E13BE1">
      <w:pPr>
        <w:keepLines w:val="0"/>
        <w:shd w:val="clear" w:color="auto" w:fill="CCFFFF"/>
        <w:spacing w:before="60" w:after="60"/>
        <w:ind w:right="7020"/>
        <w:jc w:val="both"/>
        <w:rPr>
          <w:rFonts w:ascii="Arial" w:hAnsi="Arial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594">
        <w:rPr>
          <w:rFonts w:ascii="Arial" w:hAnsi="Arial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Texte de l’article :</w:t>
      </w:r>
    </w:p>
    <w:p w:rsidR="00E13BE1" w:rsidRPr="00756594" w:rsidRDefault="00E13BE1" w:rsidP="00E13BE1">
      <w:pPr>
        <w:keepLines w:val="0"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13BE1" w:rsidRPr="00756594" w:rsidRDefault="00E13BE1" w:rsidP="00E13BE1">
      <w:pPr>
        <w:keepLines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756594">
        <w:rPr>
          <w:rFonts w:ascii="Arial" w:hAnsi="Arial" w:cs="Arial"/>
          <w:sz w:val="20"/>
          <w:szCs w:val="20"/>
        </w:rPr>
        <w:t>I. - </w:t>
      </w:r>
    </w:p>
    <w:p w:rsidR="00E13BE1" w:rsidRPr="00756594" w:rsidRDefault="00E13BE1" w:rsidP="00E13BE1">
      <w:pPr>
        <w:keepLines w:val="0"/>
        <w:spacing w:before="240" w:after="60"/>
        <w:jc w:val="both"/>
        <w:rPr>
          <w:rFonts w:ascii="Arial" w:hAnsi="Arial" w:cs="Arial"/>
          <w:sz w:val="20"/>
          <w:szCs w:val="20"/>
        </w:rPr>
      </w:pPr>
      <w:r w:rsidRPr="00756594">
        <w:rPr>
          <w:rFonts w:ascii="Arial" w:hAnsi="Arial" w:cs="Arial"/>
          <w:sz w:val="20"/>
          <w:szCs w:val="20"/>
        </w:rPr>
        <w:t>II. - </w:t>
      </w:r>
    </w:p>
    <w:p w:rsidR="00E13BE1" w:rsidRPr="00756594" w:rsidRDefault="00E13BE1" w:rsidP="00E13BE1">
      <w:pPr>
        <w:keepLines w:val="0"/>
        <w:spacing w:before="240" w:after="60"/>
        <w:jc w:val="both"/>
        <w:rPr>
          <w:rFonts w:ascii="Arial" w:hAnsi="Arial" w:cs="Arial"/>
          <w:sz w:val="20"/>
          <w:szCs w:val="20"/>
        </w:rPr>
      </w:pPr>
      <w:r w:rsidRPr="00756594">
        <w:rPr>
          <w:rFonts w:ascii="Arial" w:hAnsi="Arial" w:cs="Arial"/>
          <w:sz w:val="20"/>
          <w:szCs w:val="20"/>
        </w:rPr>
        <w:t>III. - </w:t>
      </w:r>
    </w:p>
    <w:p w:rsidR="00E13BE1" w:rsidRPr="00756594" w:rsidRDefault="00E13BE1" w:rsidP="00E13BE1">
      <w:pPr>
        <w:keepLines w:val="0"/>
        <w:spacing w:before="240" w:after="60"/>
        <w:jc w:val="both"/>
        <w:rPr>
          <w:rFonts w:ascii="Arial" w:hAnsi="Arial" w:cs="Arial"/>
          <w:sz w:val="20"/>
          <w:szCs w:val="20"/>
        </w:rPr>
      </w:pPr>
    </w:p>
    <w:p w:rsidR="00E13BE1" w:rsidRPr="00756594" w:rsidRDefault="00E13BE1" w:rsidP="00E13BE1">
      <w:pPr>
        <w:keepLines w:val="0"/>
        <w:shd w:val="clear" w:color="auto" w:fill="CCFFFF"/>
        <w:spacing w:before="60" w:after="60"/>
        <w:ind w:right="5500"/>
        <w:jc w:val="both"/>
        <w:rPr>
          <w:rFonts w:ascii="Arial" w:hAnsi="Arial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594">
        <w:rPr>
          <w:rFonts w:ascii="Arial" w:hAnsi="Arial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Exposé des motifs de l’article :</w:t>
      </w:r>
    </w:p>
    <w:p w:rsidR="00E13BE1" w:rsidRPr="00756594" w:rsidRDefault="00E13BE1" w:rsidP="00E13BE1"/>
    <w:p w:rsidR="00E13BE1" w:rsidRPr="00756594" w:rsidRDefault="00E13BE1" w:rsidP="00E13BE1">
      <w:pPr>
        <w:keepLines w:val="0"/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56594">
        <w:rPr>
          <w:rFonts w:ascii="Arial" w:hAnsi="Arial" w:cs="Arial"/>
          <w:sz w:val="20"/>
          <w:szCs w:val="20"/>
        </w:rPr>
        <w:t>Le présent article …</w:t>
      </w:r>
    </w:p>
    <w:p w:rsidR="00E13BE1" w:rsidRPr="00756594" w:rsidRDefault="00E13BE1" w:rsidP="00E13BE1">
      <w:pPr>
        <w:keepLines w:val="0"/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13BE1" w:rsidRPr="00756594" w:rsidRDefault="00E13BE1" w:rsidP="00E13BE1">
      <w:pPr>
        <w:keepLines w:val="0"/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13BE1" w:rsidRPr="00756594" w:rsidRDefault="00E13BE1" w:rsidP="00E13BE1">
      <w:pPr>
        <w:keepLines w:val="0"/>
        <w:pBdr>
          <w:left w:val="single" w:sz="12" w:space="4" w:color="00FFFF"/>
        </w:pBd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13BE1" w:rsidRPr="00756594" w:rsidRDefault="00E13BE1" w:rsidP="00E13BE1"/>
    <w:p w:rsidR="00E13BE1" w:rsidRPr="00756594" w:rsidRDefault="00E13BE1" w:rsidP="00E13BE1"/>
    <w:p w:rsidR="00E13BE1" w:rsidRPr="00756594" w:rsidRDefault="00E13BE1" w:rsidP="00E13BE1"/>
    <w:p w:rsidR="00E13BE1" w:rsidRPr="00756594" w:rsidRDefault="00E13BE1" w:rsidP="00E13BE1">
      <w:pPr>
        <w:keepLines w:val="0"/>
        <w:shd w:val="clear" w:color="auto" w:fill="CCFFFF"/>
        <w:spacing w:before="60" w:after="60"/>
        <w:ind w:right="6552"/>
        <w:rPr>
          <w:rFonts w:ascii="Arial" w:hAnsi="Arial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594">
        <w:rPr>
          <w:rFonts w:ascii="Arial" w:hAnsi="Arial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Évaluation préalable :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FA7260" w:rsidRDefault="00E13BE1" w:rsidP="00E954B4">
      <w:pPr>
        <w:pStyle w:val="FPFexpogentexte9"/>
        <w:keepNext/>
        <w:spacing w:before="360" w:after="360"/>
        <w:rPr>
          <w:b/>
        </w:rPr>
      </w:pPr>
      <w:r w:rsidRPr="00FA7260">
        <w:rPr>
          <w:b/>
        </w:rPr>
        <w:t>1.  Diagnostic des difficultés à résoudre et objectifs de la réforme envisagée</w:t>
      </w:r>
    </w:p>
    <w:p w:rsidR="00E13BE1" w:rsidRPr="00756594" w:rsidRDefault="00E13BE1" w:rsidP="003C43FA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1.1  Situation actuelle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756594" w:rsidRDefault="00E13BE1" w:rsidP="003C43FA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1.2  Description des dispositifs juridiques en vigueur et date de leur dernière modification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756594" w:rsidRDefault="00E13BE1" w:rsidP="003C43FA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1.3  Problème à résoudre, raisons pour lesquelles les moyens existants sont insuffisants et le cas échéant nécessité de procéder à une nouvelle modification des dispositifs existants</w:t>
      </w:r>
    </w:p>
    <w:p w:rsidR="00E13BE1" w:rsidRPr="002901E3" w:rsidRDefault="00E13BE1" w:rsidP="001D3794">
      <w:pPr>
        <w:pStyle w:val="FPFexpogentexte9"/>
        <w:spacing w:before="120" w:after="120"/>
      </w:pPr>
    </w:p>
    <w:p w:rsidR="00E13BE1" w:rsidRPr="00756594" w:rsidRDefault="00E13BE1" w:rsidP="003C43FA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1.4  Objectifs poursuivis par la réforme (présentation de la logique de l’intervention)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954B4" w:rsidRDefault="00E954B4" w:rsidP="001D3794">
      <w:pPr>
        <w:pStyle w:val="FPFexpogentexte9"/>
        <w:spacing w:before="120" w:after="120"/>
        <w:rPr>
          <w:b/>
        </w:rPr>
      </w:pPr>
    </w:p>
    <w:p w:rsidR="00E13BE1" w:rsidRPr="00D35F08" w:rsidRDefault="00E13BE1" w:rsidP="00E954B4">
      <w:pPr>
        <w:pStyle w:val="FPFexpogentexte9"/>
        <w:keepNext/>
        <w:spacing w:before="360" w:after="360"/>
        <w:rPr>
          <w:b/>
        </w:rPr>
      </w:pPr>
      <w:r w:rsidRPr="00D35F08">
        <w:rPr>
          <w:b/>
        </w:rPr>
        <w:t xml:space="preserve">2.  Options possibles et nécessité de légiférer </w:t>
      </w:r>
    </w:p>
    <w:p w:rsidR="00D2378D" w:rsidRPr="00756594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2.1  Liste des options possibles</w:t>
      </w:r>
    </w:p>
    <w:p w:rsidR="00E13BE1" w:rsidRPr="00756594" w:rsidRDefault="00E13BE1" w:rsidP="001D3794">
      <w:pPr>
        <w:pStyle w:val="FPFexpogentexte9"/>
        <w:spacing w:before="120" w:after="120"/>
        <w:rPr>
          <w:i/>
        </w:rPr>
      </w:pPr>
      <w:r w:rsidRPr="00756594">
        <w:rPr>
          <w:i/>
        </w:rPr>
        <w:t>(A minima deux options, éviter de mentionner le « statu quo » comme une option).</w:t>
      </w:r>
    </w:p>
    <w:p w:rsidR="00E13BE1" w:rsidRPr="002901E3" w:rsidRDefault="00E13BE1" w:rsidP="001D3794">
      <w:pPr>
        <w:pStyle w:val="FPFexpogentexte9"/>
        <w:spacing w:before="120" w:after="120"/>
      </w:pPr>
    </w:p>
    <w:p w:rsidR="00E13BE1" w:rsidRPr="00756594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2.2  Description des avantages/inconvénients des différentes options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756594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2.3  Raisons ayant présidé au choix de l’option proposée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D35F08" w:rsidRDefault="00E13BE1" w:rsidP="00E954B4">
      <w:pPr>
        <w:pStyle w:val="FPFexpogentexte9"/>
        <w:keepNext/>
        <w:spacing w:before="360" w:after="360"/>
        <w:rPr>
          <w:b/>
        </w:rPr>
      </w:pPr>
      <w:r w:rsidRPr="00D35F08">
        <w:rPr>
          <w:b/>
        </w:rPr>
        <w:t>3.  Dispositif juridique</w:t>
      </w:r>
    </w:p>
    <w:p w:rsidR="00E13BE1" w:rsidRPr="00756594" w:rsidRDefault="00E13BE1" w:rsidP="00CD5F52">
      <w:pPr>
        <w:pStyle w:val="FPFexpogentexte9"/>
        <w:keepNext/>
        <w:spacing w:before="240" w:after="120"/>
      </w:pPr>
      <w:r w:rsidRPr="00756594">
        <w:rPr>
          <w:u w:val="single"/>
        </w:rPr>
        <w:t>3.1  Rattachement au domaine de la loi de finances</w:t>
      </w:r>
      <w:r w:rsidRPr="00756594">
        <w:t xml:space="preserve"> </w:t>
      </w:r>
    </w:p>
    <w:p w:rsidR="00E13BE1" w:rsidRPr="00756594" w:rsidRDefault="00E13BE1" w:rsidP="001D3794">
      <w:pPr>
        <w:pStyle w:val="FPFexpogentexte9"/>
        <w:spacing w:before="120" w:after="120"/>
        <w:rPr>
          <w:i/>
        </w:rPr>
      </w:pPr>
      <w:r w:rsidRPr="00756594">
        <w:rPr>
          <w:i/>
        </w:rPr>
        <w:t>(Viser précisément la partie de l’article 34 de la LOLF qui justifie le rattachement de la disposition à la loi de finances).</w:t>
      </w:r>
    </w:p>
    <w:p w:rsidR="00E13BE1" w:rsidRPr="002901E3" w:rsidRDefault="00E13BE1" w:rsidP="001D3794">
      <w:pPr>
        <w:pStyle w:val="FPFexpogentexte9"/>
        <w:spacing w:before="120" w:after="120"/>
      </w:pPr>
    </w:p>
    <w:p w:rsidR="00E13BE1" w:rsidRPr="00756594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3.2  Liste des dispositions (législatives et réglementaires) à créer, à modifier ou à abroger</w:t>
      </w:r>
    </w:p>
    <w:p w:rsidR="00E13BE1" w:rsidRPr="00756594" w:rsidRDefault="00E13BE1" w:rsidP="001D3794">
      <w:pPr>
        <w:pStyle w:val="FPFexpogentexte9"/>
        <w:spacing w:before="120" w:after="120"/>
        <w:rPr>
          <w:i/>
        </w:rPr>
      </w:pPr>
      <w:r w:rsidRPr="00756594">
        <w:rPr>
          <w:i/>
        </w:rPr>
        <w:t>(Rubrique à compléter en lien avec la rubrique 1.2 supra).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Pr="00756594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3.3  Articulation avec le droit européen en vigueur ou en cours d’élaboration (traités, droit dérivé, jurisprudence, aides d’État)</w:t>
      </w:r>
    </w:p>
    <w:p w:rsidR="00EA7096" w:rsidRPr="00EA7096" w:rsidRDefault="00EA7096" w:rsidP="00EA7096">
      <w:pPr>
        <w:pStyle w:val="FPFexpogentexte9"/>
        <w:spacing w:before="120" w:after="120"/>
        <w:rPr>
          <w:i/>
        </w:rPr>
      </w:pPr>
      <w:r>
        <w:rPr>
          <w:i/>
        </w:rPr>
        <w:t>(</w:t>
      </w:r>
      <w:r w:rsidRPr="00EA7096">
        <w:rPr>
          <w:i/>
        </w:rPr>
        <w:t>En particulier, en cas de présence d’aide d’</w:t>
      </w:r>
      <w:proofErr w:type="spellStart"/>
      <w:r w:rsidRPr="00EA7096">
        <w:rPr>
          <w:i/>
        </w:rPr>
        <w:t>Etat</w:t>
      </w:r>
      <w:proofErr w:type="spellEnd"/>
      <w:r w:rsidRPr="00EA7096">
        <w:rPr>
          <w:i/>
        </w:rPr>
        <w:t xml:space="preserve">, </w:t>
      </w:r>
      <w:proofErr w:type="spellStart"/>
      <w:r w:rsidRPr="00EA7096">
        <w:rPr>
          <w:i/>
        </w:rPr>
        <w:t>veuillez vous</w:t>
      </w:r>
      <w:proofErr w:type="spellEnd"/>
      <w:r w:rsidRPr="00EA7096">
        <w:rPr>
          <w:i/>
        </w:rPr>
        <w:t xml:space="preserve"> reporter aux formulations proposées permettant de garantir la compatibilité de la mesure avec le droit de l’Union européenne dans l’annexe 4</w:t>
      </w:r>
      <w:r>
        <w:rPr>
          <w:i/>
        </w:rPr>
        <w:t>)</w:t>
      </w:r>
      <w:r w:rsidRPr="00EA7096">
        <w:rPr>
          <w:i/>
        </w:rPr>
        <w:t>.</w:t>
      </w:r>
    </w:p>
    <w:p w:rsidR="00E13BE1" w:rsidRPr="00756594" w:rsidRDefault="00E13BE1" w:rsidP="001D3794">
      <w:pPr>
        <w:pStyle w:val="FPFexpogentexte9"/>
        <w:spacing w:before="120" w:after="120"/>
      </w:pPr>
    </w:p>
    <w:p w:rsidR="00E13BE1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3.4  Modalités d’application dans le temps (mesures transitoires éventuelles) et sur le territoire (justification, le cas échéant, des adaptations proposées et de l’absence d’application de la disposition à certaines collectivités d’outre-mer)</w:t>
      </w:r>
    </w:p>
    <w:p w:rsidR="00FA7260" w:rsidRPr="002901E3" w:rsidRDefault="00FA7260" w:rsidP="001D3794">
      <w:pPr>
        <w:pStyle w:val="FPFexpogentexte9"/>
        <w:spacing w:before="120" w:after="120"/>
      </w:pPr>
    </w:p>
    <w:tbl>
      <w:tblPr>
        <w:tblW w:w="77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00FFFF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7"/>
        <w:gridCol w:w="4479"/>
      </w:tblGrid>
      <w:tr w:rsidR="00E13BE1" w:rsidRPr="00D35F08" w:rsidTr="00400158">
        <w:trPr>
          <w:cantSplit/>
        </w:trPr>
        <w:tc>
          <w:tcPr>
            <w:tcW w:w="7796" w:type="dxa"/>
            <w:gridSpan w:val="2"/>
            <w:tcBorders>
              <w:top w:val="nil"/>
            </w:tcBorders>
          </w:tcPr>
          <w:p w:rsidR="00E13BE1" w:rsidRPr="00D35F08" w:rsidRDefault="00E13BE1" w:rsidP="001D3794">
            <w:pPr>
              <w:pStyle w:val="FPFTABLt8"/>
              <w:rPr>
                <w:b/>
              </w:rPr>
            </w:pPr>
            <w:r w:rsidRPr="00D35F08">
              <w:rPr>
                <w:b/>
              </w:rPr>
              <w:t>Modalités d’application dans les départements et régions d’outre-mer :</w:t>
            </w:r>
          </w:p>
        </w:tc>
      </w:tr>
      <w:tr w:rsidR="00E13BE1" w:rsidRPr="00756594" w:rsidTr="00400158">
        <w:trPr>
          <w:cantSplit/>
        </w:trPr>
        <w:tc>
          <w:tcPr>
            <w:tcW w:w="3317" w:type="dxa"/>
            <w:tcBorders>
              <w:top w:val="nil"/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Guadeloupe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Application de plein droit / Adaptations proposées</w:t>
            </w:r>
          </w:p>
        </w:tc>
      </w:tr>
      <w:tr w:rsidR="00E13BE1" w:rsidRPr="00756594" w:rsidTr="00400158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Guyane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Application de plein droit / Adaptations proposées</w:t>
            </w:r>
          </w:p>
        </w:tc>
      </w:tr>
      <w:tr w:rsidR="00E13BE1" w:rsidRPr="00756594" w:rsidTr="00400158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Martinique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Application de plein droit / Adaptations proposées</w:t>
            </w:r>
          </w:p>
        </w:tc>
      </w:tr>
      <w:tr w:rsidR="00E13BE1" w:rsidRPr="00756594" w:rsidTr="00400158">
        <w:trPr>
          <w:cantSplit/>
        </w:trPr>
        <w:tc>
          <w:tcPr>
            <w:tcW w:w="3317" w:type="dxa"/>
            <w:tcBorders>
              <w:bottom w:val="single" w:sz="4" w:space="0" w:color="auto"/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Réunion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Application de plein droit / Adaptations proposées</w:t>
            </w:r>
          </w:p>
        </w:tc>
      </w:tr>
      <w:tr w:rsidR="00E13BE1" w:rsidRPr="00756594" w:rsidTr="00400158">
        <w:trPr>
          <w:cantSplit/>
        </w:trPr>
        <w:tc>
          <w:tcPr>
            <w:tcW w:w="3317" w:type="dxa"/>
            <w:tcBorders>
              <w:bottom w:val="nil"/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Mayotte</w:t>
            </w:r>
          </w:p>
        </w:tc>
        <w:tc>
          <w:tcPr>
            <w:tcW w:w="4479" w:type="dxa"/>
            <w:tcBorders>
              <w:left w:val="single" w:sz="4" w:space="0" w:color="auto"/>
              <w:bottom w:val="nil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Application de plein droit / Adaptations proposées</w:t>
            </w:r>
          </w:p>
        </w:tc>
      </w:tr>
    </w:tbl>
    <w:p w:rsidR="00E13BE1" w:rsidRPr="00756594" w:rsidRDefault="00E13BE1" w:rsidP="00D35F08">
      <w:pPr>
        <w:pStyle w:val="FPFexpogentexte9"/>
      </w:pPr>
    </w:p>
    <w:tbl>
      <w:tblPr>
        <w:tblW w:w="77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00FFFF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7"/>
        <w:gridCol w:w="4479"/>
      </w:tblGrid>
      <w:tr w:rsidR="00E13BE1" w:rsidRPr="00D35F08" w:rsidTr="00400158">
        <w:trPr>
          <w:cantSplit/>
        </w:trPr>
        <w:tc>
          <w:tcPr>
            <w:tcW w:w="7796" w:type="dxa"/>
            <w:gridSpan w:val="2"/>
            <w:tcBorders>
              <w:top w:val="nil"/>
            </w:tcBorders>
          </w:tcPr>
          <w:p w:rsidR="00E13BE1" w:rsidRPr="00D35F08" w:rsidRDefault="00E13BE1" w:rsidP="001D3794">
            <w:pPr>
              <w:pStyle w:val="FPFTABLt8"/>
              <w:rPr>
                <w:b/>
              </w:rPr>
            </w:pPr>
            <w:r w:rsidRPr="00D35F08">
              <w:rPr>
                <w:b/>
              </w:rPr>
              <w:t>Application éventuelle dans les collectivités d’outre-mer :</w:t>
            </w:r>
          </w:p>
        </w:tc>
      </w:tr>
      <w:tr w:rsidR="00E13BE1" w:rsidRPr="00756594" w:rsidTr="00B51EEA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Saint-Barthélemy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  <w:tr w:rsidR="00E13BE1" w:rsidRPr="00756594" w:rsidTr="00B51EEA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Saint-Martin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  <w:tr w:rsidR="00E13BE1" w:rsidRPr="00756594" w:rsidTr="00B51EEA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Saint-Pierre-et-Miquelon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  <w:tr w:rsidR="00E13BE1" w:rsidRPr="00756594" w:rsidTr="00B51EEA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Wallis et Futuna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  <w:tr w:rsidR="00E13BE1" w:rsidRPr="00756594" w:rsidTr="00B51EEA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Polynésie française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  <w:tr w:rsidR="00E13BE1" w:rsidRPr="00756594" w:rsidTr="00B51EEA">
        <w:trPr>
          <w:cantSplit/>
        </w:trPr>
        <w:tc>
          <w:tcPr>
            <w:tcW w:w="3317" w:type="dxa"/>
            <w:tcBorders>
              <w:bottom w:val="single" w:sz="4" w:space="0" w:color="auto"/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Nouvelle-Calédonie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  <w:tr w:rsidR="00E13BE1" w:rsidRPr="00756594" w:rsidTr="00400158">
        <w:trPr>
          <w:cantSplit/>
        </w:trPr>
        <w:tc>
          <w:tcPr>
            <w:tcW w:w="33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3BE1" w:rsidRPr="00756594" w:rsidRDefault="00E13BE1" w:rsidP="001D3794">
            <w:pPr>
              <w:pStyle w:val="FPFTABLt8"/>
            </w:pPr>
            <w:r w:rsidRPr="00756594">
              <w:t>Terres australes et antarctiques françaises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13BE1" w:rsidRPr="00756594" w:rsidRDefault="00E13BE1" w:rsidP="001D3794">
            <w:pPr>
              <w:pStyle w:val="FPFTABLt8"/>
              <w:jc w:val="center"/>
            </w:pPr>
            <w:r w:rsidRPr="00756594">
              <w:t>OUI / NON</w:t>
            </w:r>
          </w:p>
        </w:tc>
      </w:tr>
    </w:tbl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E954B4">
      <w:pPr>
        <w:pStyle w:val="FPFexpogentexte9"/>
        <w:keepNext/>
        <w:spacing w:before="360" w:after="360"/>
        <w:rPr>
          <w:b/>
          <w:szCs w:val="20"/>
        </w:rPr>
      </w:pPr>
      <w:r w:rsidRPr="00756594">
        <w:rPr>
          <w:b/>
          <w:szCs w:val="20"/>
        </w:rPr>
        <w:t>4.  Impact de la disposition envisagée</w:t>
      </w:r>
    </w:p>
    <w:p w:rsidR="00E13BE1" w:rsidRPr="00756594" w:rsidRDefault="00E13BE1" w:rsidP="00CD5F52">
      <w:pPr>
        <w:pStyle w:val="FPFexpogentexte9"/>
        <w:keepNext/>
        <w:spacing w:before="240" w:after="120"/>
        <w:rPr>
          <w:szCs w:val="20"/>
          <w:u w:val="single"/>
        </w:rPr>
      </w:pPr>
      <w:r w:rsidRPr="00756594">
        <w:rPr>
          <w:szCs w:val="20"/>
          <w:u w:val="single"/>
        </w:rPr>
        <w:t>4.1  Évaluation des conséquences pour chaque catégorie de personnes physiques et morales intéressées</w:t>
      </w:r>
    </w:p>
    <w:p w:rsidR="00E13BE1" w:rsidRPr="00756594" w:rsidRDefault="00E13BE1" w:rsidP="009F7A72">
      <w:pPr>
        <w:pStyle w:val="FPFexpogentexte9"/>
        <w:keepNext/>
        <w:spacing w:before="240" w:after="120"/>
        <w:rPr>
          <w:i/>
          <w:szCs w:val="20"/>
        </w:rPr>
      </w:pPr>
      <w:r w:rsidRPr="00756594">
        <w:rPr>
          <w:i/>
          <w:szCs w:val="20"/>
        </w:rPr>
        <w:t>   4.1.1  Incidences micro et/ou macro-économiques (impact sur la croissance, la compétitivité, la concurrence, modification des comportements...)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FA7260" w:rsidP="009F7A72">
      <w:pPr>
        <w:pStyle w:val="FPFexpogentexte9"/>
        <w:keepNext/>
        <w:spacing w:before="240" w:after="120"/>
        <w:rPr>
          <w:i/>
          <w:szCs w:val="20"/>
        </w:rPr>
      </w:pPr>
      <w:r w:rsidRPr="00756594">
        <w:rPr>
          <w:i/>
          <w:szCs w:val="20"/>
        </w:rPr>
        <w:t>   4.1.</w:t>
      </w:r>
      <w:r w:rsidR="009F7A72">
        <w:rPr>
          <w:i/>
          <w:szCs w:val="20"/>
        </w:rPr>
        <w:t>2</w:t>
      </w:r>
      <w:r w:rsidRPr="00756594">
        <w:rPr>
          <w:i/>
          <w:szCs w:val="20"/>
        </w:rPr>
        <w:t>  </w:t>
      </w:r>
      <w:r w:rsidR="00E13BE1" w:rsidRPr="00756594">
        <w:rPr>
          <w:i/>
          <w:szCs w:val="20"/>
        </w:rPr>
        <w:t>Coûts et bénéfices financiers pour chaque catégorie de personnes physiques et morales concernée</w:t>
      </w:r>
    </w:p>
    <w:p w:rsidR="00E13BE1" w:rsidRPr="00756594" w:rsidRDefault="00E13BE1" w:rsidP="00E954B4">
      <w:pPr>
        <w:pStyle w:val="FPFexpogentexte9"/>
        <w:spacing w:before="120" w:after="120"/>
        <w:rPr>
          <w:szCs w:val="20"/>
        </w:rPr>
      </w:pPr>
    </w:p>
    <w:p w:rsidR="00E13BE1" w:rsidRPr="00756594" w:rsidRDefault="00FA7260" w:rsidP="009F7A72">
      <w:pPr>
        <w:pStyle w:val="FPFexpogentexte9"/>
        <w:keepNext/>
        <w:spacing w:before="240" w:after="120"/>
        <w:rPr>
          <w:i/>
          <w:szCs w:val="20"/>
        </w:rPr>
      </w:pPr>
      <w:r w:rsidRPr="00756594">
        <w:rPr>
          <w:i/>
          <w:szCs w:val="20"/>
        </w:rPr>
        <w:t>   4.1.</w:t>
      </w:r>
      <w:r w:rsidR="009F7A72">
        <w:rPr>
          <w:i/>
          <w:szCs w:val="20"/>
        </w:rPr>
        <w:t>3</w:t>
      </w:r>
      <w:r w:rsidRPr="00756594">
        <w:rPr>
          <w:i/>
          <w:szCs w:val="20"/>
        </w:rPr>
        <w:t>  </w:t>
      </w:r>
      <w:r w:rsidR="00E13BE1" w:rsidRPr="00756594">
        <w:rPr>
          <w:i/>
          <w:szCs w:val="20"/>
        </w:rPr>
        <w:t>Impact en matière d’égalité entre les hommes et les femmes </w:t>
      </w:r>
    </w:p>
    <w:p w:rsidR="00E13BE1" w:rsidRPr="00EA7096" w:rsidRDefault="00E13BE1" w:rsidP="00E954B4">
      <w:pPr>
        <w:pStyle w:val="FPFexpogentexte9"/>
        <w:spacing w:before="120" w:after="120"/>
        <w:rPr>
          <w:szCs w:val="20"/>
        </w:rPr>
      </w:pPr>
    </w:p>
    <w:p w:rsidR="00E13BE1" w:rsidRPr="009F7A72" w:rsidRDefault="009F7A72" w:rsidP="009F7A72">
      <w:pPr>
        <w:pStyle w:val="FPFexpogentexte9"/>
        <w:keepNext/>
        <w:spacing w:before="240" w:after="120"/>
        <w:rPr>
          <w:i/>
        </w:rPr>
      </w:pPr>
      <w:r w:rsidRPr="009F7A72">
        <w:rPr>
          <w:i/>
        </w:rPr>
        <w:t>   4.1.4</w:t>
      </w:r>
      <w:r w:rsidR="00FA7260" w:rsidRPr="009F7A72">
        <w:rPr>
          <w:i/>
        </w:rPr>
        <w:t>  </w:t>
      </w:r>
      <w:r w:rsidR="00E13BE1" w:rsidRPr="009F7A72">
        <w:rPr>
          <w:i/>
        </w:rPr>
        <w:t>Impact sur la stratégie d’ensemble relative aux personnes en situation de handicap (domaines, moyens à prévoir pour leur mise en œuvre…)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9F7A72" w:rsidRDefault="009F7A72" w:rsidP="009F7A72">
      <w:pPr>
        <w:pStyle w:val="FPFexpogentexte9"/>
        <w:keepNext/>
        <w:spacing w:before="240" w:after="120"/>
        <w:rPr>
          <w:i/>
        </w:rPr>
      </w:pPr>
      <w:r w:rsidRPr="009F7A72">
        <w:rPr>
          <w:i/>
        </w:rPr>
        <w:t>   4.1.5</w:t>
      </w:r>
      <w:r w:rsidR="00FA7260" w:rsidRPr="009F7A72">
        <w:rPr>
          <w:i/>
        </w:rPr>
        <w:t>  </w:t>
      </w:r>
      <w:r w:rsidR="00E13BE1" w:rsidRPr="009F7A72">
        <w:rPr>
          <w:i/>
        </w:rPr>
        <w:t>Incidences sociales (impact sur l’emploi et le marché du travail en particulier)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9F7A72" w:rsidRDefault="009F7A72" w:rsidP="009F7A72">
      <w:pPr>
        <w:pStyle w:val="FPFexpogentexte9"/>
        <w:keepNext/>
        <w:spacing w:before="240" w:after="120"/>
        <w:rPr>
          <w:i/>
        </w:rPr>
      </w:pPr>
      <w:r w:rsidRPr="009F7A72">
        <w:rPr>
          <w:i/>
        </w:rPr>
        <w:t>   4.1.6</w:t>
      </w:r>
      <w:r w:rsidR="00D35F08" w:rsidRPr="009F7A72">
        <w:rPr>
          <w:i/>
        </w:rPr>
        <w:t>  </w:t>
      </w:r>
      <w:r w:rsidR="00E13BE1" w:rsidRPr="009F7A72">
        <w:rPr>
          <w:i/>
        </w:rPr>
        <w:t>Incidences environnementales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756594">
        <w:rPr>
          <w:u w:val="single"/>
        </w:rPr>
        <w:t>4.2  Évaluation des conséquences pour les administrations publiques concernées</w:t>
      </w:r>
    </w:p>
    <w:p w:rsidR="00E13BE1" w:rsidRPr="009F7A72" w:rsidRDefault="00E13BE1" w:rsidP="009F7A72">
      <w:pPr>
        <w:pStyle w:val="FPFexpogentexte9"/>
        <w:keepNext/>
        <w:spacing w:before="240" w:after="120"/>
        <w:rPr>
          <w:i/>
        </w:rPr>
      </w:pPr>
      <w:r w:rsidRPr="009F7A72">
        <w:rPr>
          <w:i/>
        </w:rPr>
        <w:t>   4.2.1  Incidences budgétaires (coûts/économies nets de la mesure proposée)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6"/>
        <w:gridCol w:w="866"/>
        <w:gridCol w:w="867"/>
        <w:gridCol w:w="145"/>
        <w:gridCol w:w="2285"/>
        <w:gridCol w:w="889"/>
      </w:tblGrid>
      <w:tr w:rsidR="00E13BE1" w:rsidRPr="00623BFF" w:rsidTr="00B51EEA">
        <w:trPr>
          <w:trHeight w:val="319"/>
          <w:jc w:val="center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E1" w:rsidRPr="00623BFF" w:rsidRDefault="00E13BE1" w:rsidP="009F7A72">
            <w:pPr>
              <w:pStyle w:val="FPFTABLt8"/>
              <w:keepNext/>
              <w:rPr>
                <w:b/>
              </w:rPr>
            </w:pPr>
            <w:r w:rsidRPr="00623BFF">
              <w:rPr>
                <w:b/>
              </w:rPr>
              <w:t>Incidence budgétaire ou financière de la disposition prévue</w:t>
            </w:r>
            <w:r w:rsidRPr="00623BFF">
              <w:rPr>
                <w:b/>
                <w:vertAlign w:val="superscript"/>
              </w:rPr>
              <w:footnoteReference w:id="1"/>
            </w:r>
            <w:r w:rsidRPr="00623BFF">
              <w:rPr>
                <w:b/>
              </w:rPr>
              <w:t> :</w:t>
            </w:r>
          </w:p>
        </w:tc>
      </w:tr>
      <w:tr w:rsidR="00E13BE1" w:rsidRPr="00756594" w:rsidTr="00B51EEA">
        <w:trPr>
          <w:trHeight w:val="228"/>
          <w:jc w:val="center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E1" w:rsidRPr="00756594" w:rsidRDefault="00E13BE1" w:rsidP="009F7A72">
            <w:pPr>
              <w:pStyle w:val="FPFTABLt8"/>
              <w:keepNext/>
              <w:rPr>
                <w:bCs/>
                <w:i/>
                <w:iCs/>
              </w:rPr>
            </w:pPr>
            <w:r w:rsidRPr="00756594">
              <w:rPr>
                <w:bCs/>
                <w:i/>
                <w:iCs/>
              </w:rPr>
              <w:t>Coûts nets ou économies nettes (-) exprimés en millions d’euros</w:t>
            </w:r>
          </w:p>
        </w:tc>
      </w:tr>
      <w:tr w:rsidR="00EA7096" w:rsidRPr="00756594" w:rsidTr="00B51EEA">
        <w:trPr>
          <w:gridAfter w:val="1"/>
          <w:wAfter w:w="889" w:type="dxa"/>
          <w:trHeight w:val="608"/>
          <w:jc w:val="center"/>
        </w:trPr>
        <w:tc>
          <w:tcPr>
            <w:tcW w:w="36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rPr>
                <w:bCs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2016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2017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center"/>
              <w:rPr>
                <w:bCs/>
              </w:rPr>
            </w:pPr>
          </w:p>
        </w:tc>
        <w:tc>
          <w:tcPr>
            <w:tcW w:w="2285" w:type="dxa"/>
            <w:tcBorders>
              <w:top w:val="nil"/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Coût pérenne</w:t>
            </w:r>
            <w:r w:rsidRPr="00756594">
              <w:rPr>
                <w:bCs/>
              </w:rPr>
              <w:br/>
              <w:t xml:space="preserve"> ou</w:t>
            </w:r>
            <w:r w:rsidRPr="00756594">
              <w:rPr>
                <w:bCs/>
              </w:rPr>
              <w:br/>
              <w:t>économie pérenne (-)</w:t>
            </w:r>
          </w:p>
        </w:tc>
      </w:tr>
      <w:tr w:rsidR="00EA7096" w:rsidRPr="00756594" w:rsidTr="00B51EEA">
        <w:trPr>
          <w:gridAfter w:val="1"/>
          <w:wAfter w:w="889" w:type="dxa"/>
          <w:trHeight w:val="27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rPr>
                <w:bCs/>
              </w:rPr>
            </w:pPr>
            <w:r w:rsidRPr="00756594">
              <w:rPr>
                <w:bCs/>
              </w:rPr>
              <w:t>État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</w:tr>
      <w:tr w:rsidR="00EA7096" w:rsidRPr="00756594" w:rsidTr="00B51EEA">
        <w:trPr>
          <w:gridAfter w:val="1"/>
          <w:wAfter w:w="889" w:type="dxa"/>
          <w:trHeight w:val="27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</w:pPr>
            <w:r w:rsidRPr="00756594">
              <w:t>Dépenses de personnel (AE=CP)   [1]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</w:tr>
      <w:tr w:rsidR="00EA7096" w:rsidRPr="00756594" w:rsidTr="00B51EEA">
        <w:trPr>
          <w:gridAfter w:val="1"/>
          <w:wAfter w:w="889" w:type="dxa"/>
          <w:trHeight w:val="258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rPr>
                <w:i/>
                <w:iCs/>
              </w:rPr>
            </w:pPr>
            <w:r w:rsidRPr="00756594">
              <w:rPr>
                <w:i/>
                <w:iCs/>
              </w:rPr>
              <w:t xml:space="preserve">Dépenses hors personnel : AE   </w:t>
            </w:r>
            <w:r w:rsidRPr="00756594">
              <w:t>[2]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i/>
                <w:i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i/>
                <w:iCs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i/>
                <w:iCs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i/>
                <w:iCs/>
              </w:rPr>
            </w:pPr>
          </w:p>
        </w:tc>
      </w:tr>
      <w:tr w:rsidR="00EA7096" w:rsidRPr="00756594" w:rsidTr="00B51EEA">
        <w:trPr>
          <w:gridAfter w:val="1"/>
          <w:wAfter w:w="889" w:type="dxa"/>
          <w:trHeight w:val="27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</w:pPr>
            <w:r w:rsidRPr="00756594">
              <w:t>Dépenses hors personnel : CP   [3]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</w:pPr>
          </w:p>
        </w:tc>
      </w:tr>
      <w:tr w:rsidR="00EA7096" w:rsidRPr="00B51EEA" w:rsidTr="00B51EEA">
        <w:trPr>
          <w:gridAfter w:val="1"/>
          <w:wAfter w:w="889" w:type="dxa"/>
          <w:trHeight w:val="27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keepNext/>
              <w:rPr>
                <w:b/>
                <w:i/>
                <w:iCs/>
              </w:rPr>
            </w:pPr>
            <w:r w:rsidRPr="00B51EEA">
              <w:rPr>
                <w:b/>
                <w:i/>
                <w:iCs/>
              </w:rPr>
              <w:t xml:space="preserve">Total pour l’État : AE   </w:t>
            </w:r>
            <w:r w:rsidRPr="00B51EEA">
              <w:rPr>
                <w:b/>
              </w:rPr>
              <w:t>= [1</w:t>
            </w:r>
            <w:proofErr w:type="gramStart"/>
            <w:r w:rsidRPr="00B51EEA">
              <w:rPr>
                <w:b/>
              </w:rPr>
              <w:t>]+</w:t>
            </w:r>
            <w:proofErr w:type="gramEnd"/>
            <w:r w:rsidRPr="00B51EEA">
              <w:rPr>
                <w:b/>
              </w:rPr>
              <w:t>[2]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i/>
                <w:i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i/>
                <w:iCs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i/>
                <w:iCs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i/>
                <w:iCs/>
              </w:rPr>
            </w:pPr>
          </w:p>
        </w:tc>
      </w:tr>
      <w:tr w:rsidR="00EA7096" w:rsidRPr="00B51EEA" w:rsidTr="00B51EEA">
        <w:trPr>
          <w:gridAfter w:val="1"/>
          <w:wAfter w:w="889" w:type="dxa"/>
          <w:trHeight w:val="27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B51EEA" w:rsidRDefault="00EA7096" w:rsidP="009F7A72">
            <w:pPr>
              <w:pStyle w:val="FPFTABLt8"/>
              <w:keepNext/>
              <w:rPr>
                <w:b/>
                <w:bCs/>
              </w:rPr>
            </w:pPr>
            <w:r w:rsidRPr="00B51EEA">
              <w:rPr>
                <w:b/>
                <w:bCs/>
              </w:rPr>
              <w:t xml:space="preserve">Total pour l’État : CP   </w:t>
            </w:r>
            <w:r w:rsidRPr="00B51EEA">
              <w:rPr>
                <w:b/>
              </w:rPr>
              <w:t>[4] = [1</w:t>
            </w:r>
            <w:proofErr w:type="gramStart"/>
            <w:r w:rsidRPr="00B51EEA">
              <w:rPr>
                <w:b/>
              </w:rPr>
              <w:t>]+</w:t>
            </w:r>
            <w:proofErr w:type="gramEnd"/>
            <w:r w:rsidRPr="00B51EEA">
              <w:rPr>
                <w:b/>
              </w:rPr>
              <w:t>[3]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bCs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bCs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B51EEA" w:rsidRDefault="00EA7096" w:rsidP="009F7A72">
            <w:pPr>
              <w:pStyle w:val="FPFTABLt8"/>
              <w:keepNext/>
              <w:jc w:val="right"/>
              <w:rPr>
                <w:b/>
                <w:bCs/>
              </w:rPr>
            </w:pPr>
          </w:p>
        </w:tc>
      </w:tr>
      <w:tr w:rsidR="00EA7096" w:rsidRPr="00756594" w:rsidTr="00B51EEA">
        <w:trPr>
          <w:gridAfter w:val="1"/>
          <w:wAfter w:w="889" w:type="dxa"/>
          <w:trHeight w:val="30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rPr>
                <w:bCs/>
              </w:rPr>
            </w:pPr>
            <w:r w:rsidRPr="00756594">
              <w:rPr>
                <w:bCs/>
              </w:rPr>
              <w:t xml:space="preserve">Collectivités territoriales   </w:t>
            </w:r>
            <w:r w:rsidRPr="00756594">
              <w:t>[5]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</w:tr>
      <w:tr w:rsidR="00EA7096" w:rsidRPr="00756594" w:rsidTr="00B51EEA">
        <w:trPr>
          <w:gridAfter w:val="1"/>
          <w:wAfter w:w="889" w:type="dxa"/>
          <w:trHeight w:val="274"/>
          <w:jc w:val="center"/>
        </w:trPr>
        <w:tc>
          <w:tcPr>
            <w:tcW w:w="3666" w:type="dxa"/>
            <w:tcBorders>
              <w:left w:val="nil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rPr>
                <w:bCs/>
              </w:rPr>
            </w:pPr>
            <w:r w:rsidRPr="00756594">
              <w:rPr>
                <w:bCs/>
              </w:rPr>
              <w:t xml:space="preserve">Sécurité sociale   </w:t>
            </w:r>
            <w:r w:rsidRPr="00756594">
              <w:t>[6]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</w:tr>
      <w:tr w:rsidR="00EA7096" w:rsidRPr="00756594" w:rsidTr="00B51EEA">
        <w:trPr>
          <w:gridAfter w:val="1"/>
          <w:wAfter w:w="889" w:type="dxa"/>
          <w:trHeight w:val="258"/>
          <w:jc w:val="center"/>
        </w:trPr>
        <w:tc>
          <w:tcPr>
            <w:tcW w:w="36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rPr>
                <w:bCs/>
              </w:rPr>
            </w:pPr>
            <w:r w:rsidRPr="00756594">
              <w:rPr>
                <w:bCs/>
              </w:rPr>
              <w:t xml:space="preserve">Autres administrations publiques   </w:t>
            </w:r>
            <w:r w:rsidRPr="00756594">
              <w:t>[7]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  <w:tc>
          <w:tcPr>
            <w:tcW w:w="2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096" w:rsidRPr="00756594" w:rsidRDefault="00EA7096" w:rsidP="009F7A72">
            <w:pPr>
              <w:pStyle w:val="FPFTABLt8"/>
              <w:keepNext/>
              <w:jc w:val="right"/>
              <w:rPr>
                <w:bCs/>
              </w:rPr>
            </w:pPr>
          </w:p>
        </w:tc>
      </w:tr>
      <w:tr w:rsidR="00EA7096" w:rsidRPr="00B51EEA" w:rsidTr="00B51EEA">
        <w:trPr>
          <w:gridAfter w:val="1"/>
          <w:wAfter w:w="889" w:type="dxa"/>
          <w:trHeight w:val="289"/>
          <w:jc w:val="center"/>
        </w:trPr>
        <w:tc>
          <w:tcPr>
            <w:tcW w:w="3666" w:type="dxa"/>
            <w:tcBorders>
              <w:left w:val="nil"/>
              <w:bottom w:val="nil"/>
              <w:right w:val="single" w:sz="4" w:space="0" w:color="auto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rPr>
                <w:b/>
                <w:bCs/>
              </w:rPr>
            </w:pPr>
            <w:r w:rsidRPr="00B51EEA">
              <w:rPr>
                <w:b/>
                <w:bCs/>
              </w:rPr>
              <w:t>Total pour l’ensemble des APU [4</w:t>
            </w:r>
            <w:proofErr w:type="gramStart"/>
            <w:r w:rsidRPr="00B51EEA">
              <w:rPr>
                <w:b/>
                <w:bCs/>
              </w:rPr>
              <w:t>]+</w:t>
            </w:r>
            <w:proofErr w:type="gramEnd"/>
            <w:r w:rsidRPr="00B51EEA">
              <w:rPr>
                <w:b/>
                <w:bCs/>
              </w:rPr>
              <w:t xml:space="preserve">[5]+[6]+[7] </w:t>
            </w:r>
          </w:p>
        </w:tc>
        <w:tc>
          <w:tcPr>
            <w:tcW w:w="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096" w:rsidRPr="00B51EEA" w:rsidRDefault="00EA709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2285" w:type="dxa"/>
            <w:tcBorders>
              <w:left w:val="nil"/>
              <w:bottom w:val="nil"/>
              <w:right w:val="nil"/>
            </w:tcBorders>
            <w:shd w:val="clear" w:color="00FFFF" w:fill="FFFFFF"/>
            <w:vAlign w:val="center"/>
          </w:tcPr>
          <w:p w:rsidR="00EA7096" w:rsidRPr="00B51EEA" w:rsidRDefault="00EA7096" w:rsidP="009F7A72">
            <w:pPr>
              <w:pStyle w:val="FPFTABLt8"/>
              <w:jc w:val="right"/>
              <w:rPr>
                <w:b/>
                <w:bCs/>
              </w:rPr>
            </w:pPr>
          </w:p>
        </w:tc>
      </w:tr>
    </w:tbl>
    <w:p w:rsidR="00E13BE1" w:rsidRPr="00756594" w:rsidRDefault="00E13BE1" w:rsidP="00D35F08">
      <w:pPr>
        <w:pStyle w:val="FPFexpogentexte9"/>
      </w:pPr>
    </w:p>
    <w:tbl>
      <w:tblPr>
        <w:tblW w:w="871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6"/>
        <w:gridCol w:w="866"/>
        <w:gridCol w:w="867"/>
        <w:gridCol w:w="145"/>
        <w:gridCol w:w="2285"/>
        <w:gridCol w:w="889"/>
      </w:tblGrid>
      <w:tr w:rsidR="00E13BE1" w:rsidRPr="00D35F08" w:rsidTr="00253859">
        <w:trPr>
          <w:trHeight w:val="331"/>
          <w:jc w:val="center"/>
        </w:trPr>
        <w:tc>
          <w:tcPr>
            <w:tcW w:w="8718" w:type="dxa"/>
            <w:gridSpan w:val="6"/>
            <w:vAlign w:val="center"/>
          </w:tcPr>
          <w:p w:rsidR="00E13BE1" w:rsidRPr="00D35F08" w:rsidRDefault="00E13BE1" w:rsidP="009F7A72">
            <w:pPr>
              <w:pStyle w:val="FPFTABLt8"/>
              <w:keepNext/>
              <w:rPr>
                <w:b/>
              </w:rPr>
            </w:pPr>
            <w:r w:rsidRPr="00D35F08">
              <w:rPr>
                <w:b/>
              </w:rPr>
              <w:t>Disposition fiscale :</w:t>
            </w:r>
          </w:p>
        </w:tc>
      </w:tr>
      <w:tr w:rsidR="00E13BE1" w:rsidRPr="00756594" w:rsidTr="00253859">
        <w:trPr>
          <w:trHeight w:val="226"/>
          <w:jc w:val="center"/>
        </w:trPr>
        <w:tc>
          <w:tcPr>
            <w:tcW w:w="8718" w:type="dxa"/>
            <w:gridSpan w:val="6"/>
            <w:vAlign w:val="center"/>
          </w:tcPr>
          <w:p w:rsidR="00E13BE1" w:rsidRPr="00756594" w:rsidRDefault="00E13BE1" w:rsidP="009F7A72">
            <w:pPr>
              <w:pStyle w:val="FPFTABLt8"/>
              <w:keepNext/>
              <w:rPr>
                <w:bCs/>
                <w:i/>
                <w:iCs/>
              </w:rPr>
            </w:pPr>
            <w:r w:rsidRPr="00756594">
              <w:rPr>
                <w:bCs/>
                <w:i/>
                <w:iCs/>
              </w:rPr>
              <w:t>Augmentation nette (+) ou diminution nette (-) des recettes fiscales exprimée en millions d’euros</w:t>
            </w:r>
          </w:p>
        </w:tc>
      </w:tr>
      <w:tr w:rsidR="00BE4776" w:rsidRPr="00756594" w:rsidTr="00B51EEA">
        <w:trPr>
          <w:gridAfter w:val="1"/>
          <w:wAfter w:w="889" w:type="dxa"/>
          <w:trHeight w:val="602"/>
          <w:jc w:val="center"/>
        </w:trPr>
        <w:tc>
          <w:tcPr>
            <w:tcW w:w="36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rPr>
                <w:bCs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2016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2017</w:t>
            </w:r>
          </w:p>
        </w:tc>
        <w:tc>
          <w:tcPr>
            <w:tcW w:w="145" w:type="dxa"/>
            <w:tcBorders>
              <w:left w:val="single" w:sz="8" w:space="0" w:color="auto"/>
              <w:bottom w:val="single" w:sz="8" w:space="0" w:color="auto"/>
            </w:tcBorders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</w:p>
        </w:tc>
        <w:tc>
          <w:tcPr>
            <w:tcW w:w="2285" w:type="dxa"/>
            <w:tcBorders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Augmentation pérenne (+)</w:t>
            </w:r>
            <w:r w:rsidRPr="00756594">
              <w:rPr>
                <w:bCs/>
              </w:rPr>
              <w:br/>
              <w:t xml:space="preserve"> ou</w:t>
            </w:r>
            <w:r w:rsidRPr="00756594">
              <w:rPr>
                <w:bCs/>
              </w:rPr>
              <w:br/>
              <w:t>diminution pérenne (-)</w:t>
            </w:r>
          </w:p>
        </w:tc>
      </w:tr>
      <w:tr w:rsidR="00BE4776" w:rsidRPr="00756594" w:rsidTr="00B51EEA">
        <w:trPr>
          <w:gridAfter w:val="1"/>
          <w:wAfter w:w="889" w:type="dxa"/>
          <w:trHeight w:val="271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État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756594" w:rsidTr="00B51EEA">
        <w:trPr>
          <w:gridAfter w:val="1"/>
          <w:wAfter w:w="889" w:type="dxa"/>
          <w:trHeight w:val="271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Collectivités territoriales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756594" w:rsidTr="00B51EEA">
        <w:trPr>
          <w:gridAfter w:val="1"/>
          <w:wAfter w:w="889" w:type="dxa"/>
          <w:trHeight w:val="256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Sécurité sociale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756594" w:rsidTr="00B51EEA">
        <w:trPr>
          <w:gridAfter w:val="1"/>
          <w:wAfter w:w="889" w:type="dxa"/>
          <w:trHeight w:val="271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Autres administrations publiques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B51EEA" w:rsidTr="00B51EEA">
        <w:trPr>
          <w:gridAfter w:val="1"/>
          <w:wAfter w:w="889" w:type="dxa"/>
          <w:trHeight w:val="256"/>
          <w:jc w:val="center"/>
        </w:trPr>
        <w:tc>
          <w:tcPr>
            <w:tcW w:w="3666" w:type="dxa"/>
            <w:tcBorders>
              <w:top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rPr>
                <w:b/>
                <w:bCs/>
              </w:rPr>
            </w:pPr>
            <w:r w:rsidRPr="00B51EEA">
              <w:rPr>
                <w:b/>
                <w:bCs/>
              </w:rPr>
              <w:t>Total pour l’ensemble des APU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2285" w:type="dxa"/>
            <w:tcBorders>
              <w:top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</w:tr>
    </w:tbl>
    <w:p w:rsidR="00E13BE1" w:rsidRPr="00756594" w:rsidRDefault="00E13BE1" w:rsidP="00D35F08">
      <w:pPr>
        <w:pStyle w:val="FPFexpogentexte9"/>
      </w:pPr>
      <w:r w:rsidRPr="00756594">
        <w:t xml:space="preserve"> </w:t>
      </w:r>
    </w:p>
    <w:p w:rsidR="00E13BE1" w:rsidRPr="009F7A72" w:rsidRDefault="00E13BE1" w:rsidP="009F7A72">
      <w:pPr>
        <w:pStyle w:val="FPFexpogentexte9"/>
        <w:keepNext/>
        <w:spacing w:before="120" w:after="120"/>
        <w:rPr>
          <w:i/>
        </w:rPr>
      </w:pPr>
      <w:r w:rsidRPr="009F7A72">
        <w:rPr>
          <w:i/>
        </w:rPr>
        <w:t>   4.2.2  Incidences sur l’emploi public et la charge administrative</w:t>
      </w:r>
    </w:p>
    <w:tbl>
      <w:tblPr>
        <w:tblW w:w="872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6"/>
        <w:gridCol w:w="866"/>
        <w:gridCol w:w="867"/>
        <w:gridCol w:w="145"/>
        <w:gridCol w:w="2285"/>
        <w:gridCol w:w="891"/>
      </w:tblGrid>
      <w:tr w:rsidR="00E13BE1" w:rsidRPr="00756594" w:rsidTr="00253859">
        <w:trPr>
          <w:trHeight w:val="331"/>
          <w:jc w:val="center"/>
        </w:trPr>
        <w:tc>
          <w:tcPr>
            <w:tcW w:w="8720" w:type="dxa"/>
            <w:gridSpan w:val="6"/>
            <w:vAlign w:val="center"/>
          </w:tcPr>
          <w:p w:rsidR="00E13BE1" w:rsidRPr="00D35F08" w:rsidRDefault="00E13BE1" w:rsidP="009F7A72">
            <w:pPr>
              <w:pStyle w:val="FPFTABLt8"/>
              <w:keepNext/>
              <w:rPr>
                <w:b/>
              </w:rPr>
            </w:pPr>
            <w:r w:rsidRPr="00D35F08">
              <w:rPr>
                <w:b/>
              </w:rPr>
              <w:t>Impact sur l’emploi public :</w:t>
            </w:r>
          </w:p>
        </w:tc>
      </w:tr>
      <w:tr w:rsidR="00E13BE1" w:rsidRPr="00756594" w:rsidTr="00253859">
        <w:trPr>
          <w:trHeight w:val="211"/>
          <w:jc w:val="center"/>
        </w:trPr>
        <w:tc>
          <w:tcPr>
            <w:tcW w:w="8720" w:type="dxa"/>
            <w:gridSpan w:val="6"/>
            <w:vAlign w:val="center"/>
          </w:tcPr>
          <w:p w:rsidR="00E13BE1" w:rsidRPr="00756594" w:rsidRDefault="00E13BE1" w:rsidP="009F7A72">
            <w:pPr>
              <w:pStyle w:val="FPFTABLt8"/>
              <w:keepNext/>
              <w:rPr>
                <w:bCs/>
                <w:i/>
                <w:iCs/>
              </w:rPr>
            </w:pPr>
            <w:r w:rsidRPr="00756594">
              <w:rPr>
                <w:bCs/>
                <w:i/>
                <w:iCs/>
              </w:rPr>
              <w:t>Nombre d’emplois créés ou supprimés (-) exprimé en équivalents temps plein (ETP)</w:t>
            </w:r>
          </w:p>
        </w:tc>
      </w:tr>
      <w:tr w:rsidR="00BE4776" w:rsidRPr="00756594" w:rsidTr="00B51EEA">
        <w:trPr>
          <w:gridAfter w:val="1"/>
          <w:wAfter w:w="891" w:type="dxa"/>
          <w:trHeight w:val="421"/>
          <w:jc w:val="center"/>
        </w:trPr>
        <w:tc>
          <w:tcPr>
            <w:tcW w:w="36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rPr>
                <w:bCs/>
              </w:rPr>
            </w:pP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2016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>2017</w:t>
            </w:r>
          </w:p>
        </w:tc>
        <w:tc>
          <w:tcPr>
            <w:tcW w:w="145" w:type="dxa"/>
            <w:tcBorders>
              <w:left w:val="single" w:sz="8" w:space="0" w:color="auto"/>
              <w:bottom w:val="single" w:sz="8" w:space="0" w:color="auto"/>
            </w:tcBorders>
          </w:tcPr>
          <w:p w:rsidR="00BE4776" w:rsidRPr="00756594" w:rsidRDefault="00BE4776" w:rsidP="009F7A72">
            <w:pPr>
              <w:pStyle w:val="FPFTABLt8"/>
              <w:keepNext/>
              <w:jc w:val="center"/>
              <w:rPr>
                <w:bCs/>
              </w:rPr>
            </w:pPr>
          </w:p>
        </w:tc>
        <w:tc>
          <w:tcPr>
            <w:tcW w:w="2285" w:type="dxa"/>
            <w:tcBorders>
              <w:left w:val="nil"/>
              <w:bottom w:val="single" w:sz="8" w:space="0" w:color="auto"/>
            </w:tcBorders>
            <w:vAlign w:val="center"/>
          </w:tcPr>
          <w:p w:rsidR="00BE4776" w:rsidRPr="00756594" w:rsidRDefault="00BE4776" w:rsidP="00BE4776">
            <w:pPr>
              <w:pStyle w:val="FPFTABLt8"/>
              <w:keepNext/>
              <w:jc w:val="center"/>
              <w:rPr>
                <w:bCs/>
              </w:rPr>
            </w:pPr>
            <w:r w:rsidRPr="00756594">
              <w:rPr>
                <w:bCs/>
              </w:rPr>
              <w:t xml:space="preserve">Total pour les </w:t>
            </w:r>
            <w:r>
              <w:rPr>
                <w:bCs/>
              </w:rPr>
              <w:t>deux</w:t>
            </w:r>
            <w:r w:rsidRPr="00756594">
              <w:rPr>
                <w:bCs/>
              </w:rPr>
              <w:t xml:space="preserve"> années</w:t>
            </w:r>
          </w:p>
        </w:tc>
      </w:tr>
      <w:tr w:rsidR="00BE4776" w:rsidRPr="00756594" w:rsidTr="00B51EEA">
        <w:trPr>
          <w:gridAfter w:val="1"/>
          <w:wAfter w:w="891" w:type="dxa"/>
          <w:trHeight w:val="271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État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756594" w:rsidTr="00B51EEA">
        <w:trPr>
          <w:gridAfter w:val="1"/>
          <w:wAfter w:w="891" w:type="dxa"/>
          <w:trHeight w:val="271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Collectivités territoriales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756594" w:rsidTr="00B51EEA">
        <w:trPr>
          <w:gridAfter w:val="1"/>
          <w:wAfter w:w="891" w:type="dxa"/>
          <w:trHeight w:val="256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Sécurité sociale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756594" w:rsidTr="00B51EEA">
        <w:trPr>
          <w:gridAfter w:val="1"/>
          <w:wAfter w:w="891" w:type="dxa"/>
          <w:trHeight w:val="271"/>
          <w:jc w:val="center"/>
        </w:trPr>
        <w:tc>
          <w:tcPr>
            <w:tcW w:w="3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</w:pPr>
            <w:r w:rsidRPr="00756594">
              <w:t>Autres administrations publiques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E4776" w:rsidRPr="00756594" w:rsidRDefault="00BE4776" w:rsidP="009F7A72">
            <w:pPr>
              <w:pStyle w:val="FPFTABLt8"/>
              <w:keepNext/>
              <w:jc w:val="right"/>
            </w:pPr>
          </w:p>
        </w:tc>
      </w:tr>
      <w:tr w:rsidR="00BE4776" w:rsidRPr="00B51EEA" w:rsidTr="00B51EEA">
        <w:trPr>
          <w:gridAfter w:val="1"/>
          <w:wAfter w:w="891" w:type="dxa"/>
          <w:trHeight w:val="256"/>
          <w:jc w:val="center"/>
        </w:trPr>
        <w:tc>
          <w:tcPr>
            <w:tcW w:w="3666" w:type="dxa"/>
            <w:tcBorders>
              <w:top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rPr>
                <w:b/>
                <w:bCs/>
              </w:rPr>
            </w:pPr>
            <w:r w:rsidRPr="00B51EEA">
              <w:rPr>
                <w:b/>
                <w:bCs/>
              </w:rPr>
              <w:t>Total pour l’ensemble des APU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nil"/>
            </w:tcBorders>
            <w:shd w:val="clear" w:color="00FFFF" w:fill="FFFFFF"/>
            <w:vAlign w:val="center"/>
          </w:tcPr>
          <w:p w:rsidR="00BE4776" w:rsidRPr="00B51EEA" w:rsidRDefault="00BE4776" w:rsidP="009F7A72">
            <w:pPr>
              <w:pStyle w:val="FPFTABLt8"/>
              <w:jc w:val="right"/>
              <w:rPr>
                <w:b/>
                <w:bCs/>
              </w:rPr>
            </w:pPr>
          </w:p>
        </w:tc>
      </w:tr>
    </w:tbl>
    <w:p w:rsidR="00E13BE1" w:rsidRPr="00756594" w:rsidRDefault="00E13BE1" w:rsidP="00D35F08">
      <w:pPr>
        <w:pStyle w:val="FPFexpogentexte9"/>
      </w:pPr>
    </w:p>
    <w:p w:rsidR="00E13BE1" w:rsidRPr="00756594" w:rsidRDefault="00E13BE1" w:rsidP="00CD5F52">
      <w:pPr>
        <w:pStyle w:val="FPFexpogentexte9"/>
        <w:keepNext/>
        <w:spacing w:before="240" w:after="120"/>
        <w:rPr>
          <w:szCs w:val="20"/>
          <w:u w:val="single"/>
        </w:rPr>
      </w:pPr>
      <w:r w:rsidRPr="00756594">
        <w:rPr>
          <w:szCs w:val="20"/>
          <w:u w:val="single"/>
        </w:rPr>
        <w:t>4.3  Description synthétique de la méthode d’évaluation utilisée</w:t>
      </w:r>
    </w:p>
    <w:p w:rsidR="00E13BE1" w:rsidRPr="00756594" w:rsidRDefault="00E13BE1" w:rsidP="00E954B4">
      <w:pPr>
        <w:pStyle w:val="FPFexpogentexte9"/>
        <w:spacing w:before="120" w:after="120"/>
        <w:rPr>
          <w:i/>
          <w:szCs w:val="20"/>
        </w:rPr>
      </w:pPr>
      <w:r w:rsidRPr="00756594">
        <w:rPr>
          <w:i/>
          <w:szCs w:val="20"/>
        </w:rPr>
        <w:t>(Renseigner les éléments qui ont permis d’obtenir les éléments exposés aux rubriques 4.1 et 4.2 supra).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E954B4">
      <w:pPr>
        <w:pStyle w:val="FPFexpogentexte9"/>
        <w:keepNext/>
        <w:spacing w:before="360" w:after="360"/>
        <w:rPr>
          <w:b/>
          <w:szCs w:val="20"/>
        </w:rPr>
      </w:pPr>
      <w:r w:rsidRPr="00756594">
        <w:rPr>
          <w:b/>
          <w:szCs w:val="20"/>
        </w:rPr>
        <w:t>5.  Consultations menées</w:t>
      </w:r>
    </w:p>
    <w:p w:rsidR="00E13BE1" w:rsidRPr="00CD5F52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CD5F52">
        <w:rPr>
          <w:u w:val="single"/>
        </w:rPr>
        <w:t>5.1  Consultations obligatoires (collectivités d’outre-mer, commissions administratives...)</w:t>
      </w:r>
    </w:p>
    <w:p w:rsidR="00E13BE1" w:rsidRPr="00756594" w:rsidRDefault="00E13BE1" w:rsidP="00E954B4">
      <w:pPr>
        <w:pStyle w:val="FPFexpogentexte9"/>
        <w:spacing w:before="120" w:after="120"/>
        <w:rPr>
          <w:i/>
        </w:rPr>
      </w:pPr>
      <w:r w:rsidRPr="00756594">
        <w:rPr>
          <w:i/>
        </w:rPr>
        <w:t>(Rubrique à compléter en lien avec la rubrique 3.4 supra).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CD5F52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CD5F52">
        <w:rPr>
          <w:u w:val="single"/>
        </w:rPr>
        <w:t>5.2  Consultations facultatives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E954B4">
      <w:pPr>
        <w:pStyle w:val="FPFexpogentexte9"/>
        <w:keepNext/>
        <w:spacing w:before="360" w:after="360"/>
        <w:rPr>
          <w:b/>
        </w:rPr>
      </w:pPr>
      <w:r w:rsidRPr="00756594">
        <w:rPr>
          <w:b/>
        </w:rPr>
        <w:t>6.  Mise en œuvre de la disposition</w:t>
      </w:r>
    </w:p>
    <w:p w:rsidR="00E13BE1" w:rsidRPr="00CD5F52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CD5F52">
        <w:rPr>
          <w:u w:val="single"/>
        </w:rPr>
        <w:t>6.1  Liste prévisionnelle des textes d’application nécessaires</w:t>
      </w:r>
    </w:p>
    <w:p w:rsidR="00E13BE1" w:rsidRPr="00756594" w:rsidRDefault="00E13BE1" w:rsidP="00E954B4">
      <w:pPr>
        <w:pStyle w:val="FPFexpogentexte9"/>
        <w:spacing w:before="120" w:after="120"/>
        <w:rPr>
          <w:i/>
        </w:rPr>
      </w:pPr>
      <w:r w:rsidRPr="00756594">
        <w:rPr>
          <w:i/>
        </w:rPr>
        <w:t>(Rubrique à compléter en lien avec les  rubriques 1.2 et 3.2 supra).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756594" w:rsidRDefault="00E13BE1" w:rsidP="00CD5F52">
      <w:pPr>
        <w:pStyle w:val="FPFexpogentexte9"/>
        <w:keepNext/>
        <w:spacing w:before="240" w:after="120"/>
      </w:pPr>
      <w:r w:rsidRPr="00CD5F52">
        <w:rPr>
          <w:u w:val="single"/>
        </w:rPr>
        <w:t>6.2  Le cas échéant, moyens autres que budgétaires et juridiques nécessaires à la mise en place du dispositif</w:t>
      </w:r>
      <w:r w:rsidRPr="00756594">
        <w:t xml:space="preserve"> proposé (formalités administratives, évolution de l’organisation administrative...)</w:t>
      </w:r>
    </w:p>
    <w:p w:rsidR="00E13BE1" w:rsidRPr="00756594" w:rsidRDefault="00E13BE1" w:rsidP="00E954B4">
      <w:pPr>
        <w:pStyle w:val="FPFexpogentexte9"/>
        <w:spacing w:before="120" w:after="120"/>
      </w:pPr>
    </w:p>
    <w:p w:rsidR="00E13BE1" w:rsidRPr="00CD5F52" w:rsidRDefault="00E13BE1" w:rsidP="00CD5F52">
      <w:pPr>
        <w:pStyle w:val="FPFexpogentexte9"/>
        <w:keepNext/>
        <w:spacing w:before="240" w:after="120"/>
        <w:rPr>
          <w:u w:val="single"/>
        </w:rPr>
      </w:pPr>
      <w:r w:rsidRPr="00CD5F52">
        <w:rPr>
          <w:u w:val="single"/>
        </w:rPr>
        <w:t>6.3  Modalités de suivi de la disposition (durée d’application, évaluation)</w:t>
      </w:r>
    </w:p>
    <w:p w:rsidR="006E293B" w:rsidRDefault="006E293B" w:rsidP="00E954B4">
      <w:pPr>
        <w:pStyle w:val="FPFexpogentexte9"/>
        <w:spacing w:before="120" w:after="120"/>
      </w:pPr>
    </w:p>
    <w:sectPr w:rsidR="006E2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61" w:rsidRDefault="005E7C61" w:rsidP="00E13BE1">
      <w:r>
        <w:separator/>
      </w:r>
    </w:p>
  </w:endnote>
  <w:endnote w:type="continuationSeparator" w:id="0">
    <w:p w:rsidR="005E7C61" w:rsidRDefault="005E7C61" w:rsidP="00E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8" w:rsidRDefault="004001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8" w:rsidRDefault="0040015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8" w:rsidRDefault="004001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61" w:rsidRDefault="005E7C61" w:rsidP="00E13BE1">
      <w:r>
        <w:separator/>
      </w:r>
    </w:p>
  </w:footnote>
  <w:footnote w:type="continuationSeparator" w:id="0">
    <w:p w:rsidR="005E7C61" w:rsidRDefault="005E7C61" w:rsidP="00E13BE1">
      <w:r>
        <w:continuationSeparator/>
      </w:r>
    </w:p>
  </w:footnote>
  <w:footnote w:id="1">
    <w:p w:rsidR="00E13BE1" w:rsidRPr="008F243B" w:rsidRDefault="00E13BE1" w:rsidP="00E13BE1">
      <w:pPr>
        <w:pStyle w:val="FPFexpogentexte9"/>
        <w:spacing w:before="0"/>
        <w:rPr>
          <w:rFonts w:ascii="Times New Roman" w:hAnsi="Times New Roman" w:cs="Times New Roman"/>
          <w:sz w:val="20"/>
          <w:szCs w:val="20"/>
        </w:rPr>
      </w:pPr>
      <w:r w:rsidRPr="008F243B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8F243B">
        <w:rPr>
          <w:rFonts w:ascii="Times New Roman" w:hAnsi="Times New Roman" w:cs="Times New Roman"/>
          <w:sz w:val="20"/>
          <w:szCs w:val="20"/>
        </w:rPr>
        <w:t xml:space="preserve"> Dans chaque colonne doit être précisé le coût ou l’économie </w:t>
      </w:r>
      <w:proofErr w:type="gramStart"/>
      <w:r w:rsidRPr="008F243B">
        <w:rPr>
          <w:rFonts w:ascii="Times New Roman" w:hAnsi="Times New Roman" w:cs="Times New Roman"/>
          <w:sz w:val="20"/>
          <w:szCs w:val="20"/>
        </w:rPr>
        <w:t>net engendré</w:t>
      </w:r>
      <w:proofErr w:type="gramEnd"/>
      <w:r w:rsidRPr="008F243B">
        <w:rPr>
          <w:rFonts w:ascii="Times New Roman" w:hAnsi="Times New Roman" w:cs="Times New Roman"/>
          <w:sz w:val="20"/>
          <w:szCs w:val="20"/>
        </w:rPr>
        <w:t xml:space="preserve"> par le dispositif pour la seule année considérée, par rapport à la situation actuelle. Le coût ou l’économie pérenne désigne le coût ou l’économie induit par le nouveau dispositif, par rapport à la situation actuelle, en « régime de croisière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8" w:rsidRDefault="004001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8" w:rsidRDefault="004001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8" w:rsidRDefault="004001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ECB"/>
    <w:multiLevelType w:val="multilevel"/>
    <w:tmpl w:val="28CC7EA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"/>
        </w:tabs>
        <w:ind w:left="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76"/>
        </w:tabs>
        <w:ind w:left="1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E1"/>
    <w:rsid w:val="001B4128"/>
    <w:rsid w:val="001D3794"/>
    <w:rsid w:val="001D73ED"/>
    <w:rsid w:val="00253859"/>
    <w:rsid w:val="00273293"/>
    <w:rsid w:val="002901E3"/>
    <w:rsid w:val="00346F29"/>
    <w:rsid w:val="003C43FA"/>
    <w:rsid w:val="00400158"/>
    <w:rsid w:val="00442483"/>
    <w:rsid w:val="005D7AAE"/>
    <w:rsid w:val="005E7C61"/>
    <w:rsid w:val="00623BFF"/>
    <w:rsid w:val="006731CD"/>
    <w:rsid w:val="00691220"/>
    <w:rsid w:val="006E293B"/>
    <w:rsid w:val="009129F5"/>
    <w:rsid w:val="00964226"/>
    <w:rsid w:val="009A784E"/>
    <w:rsid w:val="009D3B8F"/>
    <w:rsid w:val="009F7A72"/>
    <w:rsid w:val="00B11DE4"/>
    <w:rsid w:val="00B51EEA"/>
    <w:rsid w:val="00BE3725"/>
    <w:rsid w:val="00BE4776"/>
    <w:rsid w:val="00CC50E2"/>
    <w:rsid w:val="00CD5F52"/>
    <w:rsid w:val="00D2378D"/>
    <w:rsid w:val="00D35F08"/>
    <w:rsid w:val="00DE7E5E"/>
    <w:rsid w:val="00E13BE1"/>
    <w:rsid w:val="00E954B4"/>
    <w:rsid w:val="00EA7096"/>
    <w:rsid w:val="00EC3B69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E1"/>
    <w:pPr>
      <w:keepLines/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PFexpogentexte9">
    <w:name w:val="FPFexpogentexte9"/>
    <w:basedOn w:val="Normal"/>
    <w:rsid w:val="00E13BE1"/>
    <w:pPr>
      <w:keepLines w:val="0"/>
      <w:spacing w:before="20"/>
      <w:jc w:val="both"/>
    </w:pPr>
    <w:rPr>
      <w:rFonts w:ascii="Arial" w:hAnsi="Arial" w:cs="Arial"/>
      <w:sz w:val="18"/>
      <w:szCs w:val="18"/>
    </w:rPr>
  </w:style>
  <w:style w:type="character" w:styleId="Appelnotedebasdep">
    <w:name w:val="footnote reference"/>
    <w:rsid w:val="00E13BE1"/>
    <w:rPr>
      <w:vertAlign w:val="superscript"/>
    </w:rPr>
  </w:style>
  <w:style w:type="paragraph" w:customStyle="1" w:styleId="FPFTABLt8">
    <w:name w:val="FPFTABLt8"/>
    <w:basedOn w:val="Normal"/>
    <w:rsid w:val="00D35F08"/>
    <w:pPr>
      <w:keepLines w:val="0"/>
      <w:spacing w:before="20" w:after="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0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158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158"/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E1"/>
    <w:pPr>
      <w:keepLines/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PFexpogentexte9">
    <w:name w:val="FPFexpogentexte9"/>
    <w:basedOn w:val="Normal"/>
    <w:rsid w:val="00E13BE1"/>
    <w:pPr>
      <w:keepLines w:val="0"/>
      <w:spacing w:before="20"/>
      <w:jc w:val="both"/>
    </w:pPr>
    <w:rPr>
      <w:rFonts w:ascii="Arial" w:hAnsi="Arial" w:cs="Arial"/>
      <w:sz w:val="18"/>
      <w:szCs w:val="18"/>
    </w:rPr>
  </w:style>
  <w:style w:type="character" w:styleId="Appelnotedebasdep">
    <w:name w:val="footnote reference"/>
    <w:rsid w:val="00E13BE1"/>
    <w:rPr>
      <w:vertAlign w:val="superscript"/>
    </w:rPr>
  </w:style>
  <w:style w:type="paragraph" w:customStyle="1" w:styleId="FPFTABLt8">
    <w:name w:val="FPFTABLt8"/>
    <w:basedOn w:val="Normal"/>
    <w:rsid w:val="00D35F08"/>
    <w:pPr>
      <w:keepLines w:val="0"/>
      <w:spacing w:before="20" w:after="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0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158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158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7888-D45D-41C1-BA0B-E651AB86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DEMAS</dc:creator>
  <cp:lastModifiedBy>JPC</cp:lastModifiedBy>
  <cp:revision>4</cp:revision>
  <dcterms:created xsi:type="dcterms:W3CDTF">2015-06-15T10:28:00Z</dcterms:created>
  <dcterms:modified xsi:type="dcterms:W3CDTF">2015-06-16T07:55:00Z</dcterms:modified>
</cp:coreProperties>
</file>