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C3D94" w14:textId="77777777" w:rsidR="003F0F7D" w:rsidRPr="00A60B25" w:rsidRDefault="003F0F7D" w:rsidP="003F0F7D">
      <w:pPr>
        <w:pStyle w:val="DBRetraitcorpsdetexte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uppressAutoHyphens/>
        <w:ind w:left="3119" w:right="3119" w:firstLine="0"/>
        <w:jc w:val="center"/>
        <w:outlineLvl w:val="0"/>
        <w:rPr>
          <w:sz w:val="24"/>
        </w:rPr>
      </w:pPr>
      <w:r w:rsidRPr="00A60B25">
        <w:rPr>
          <w:b/>
          <w:sz w:val="24"/>
        </w:rPr>
        <w:t>ANNEXE II</w:t>
      </w:r>
    </w:p>
    <w:p w14:paraId="4B16C264" w14:textId="77777777" w:rsidR="003F0F7D" w:rsidRPr="004F1D5B" w:rsidRDefault="003F0F7D" w:rsidP="003F0F7D">
      <w:pPr>
        <w:pStyle w:val="DBRetraitcorpsdetexte"/>
        <w:suppressAutoHyphens/>
        <w:spacing w:before="0" w:after="0"/>
        <w:ind w:firstLine="0"/>
        <w:jc w:val="center"/>
        <w:outlineLvl w:val="0"/>
        <w:rPr>
          <w:b/>
          <w:sz w:val="10"/>
        </w:rPr>
      </w:pPr>
    </w:p>
    <w:p w14:paraId="432C4C0C" w14:textId="77777777" w:rsidR="003F0F7D" w:rsidRPr="00A60B25" w:rsidRDefault="003F0F7D" w:rsidP="003F0F7D">
      <w:pPr>
        <w:jc w:val="center"/>
        <w:rPr>
          <w:b/>
          <w:bCs/>
        </w:rPr>
      </w:pPr>
      <w:r w:rsidRPr="00A60B25">
        <w:rPr>
          <w:b/>
          <w:bCs/>
        </w:rPr>
        <w:t>DEPENSES DE PERSONNEL ET EFFECTIFS</w:t>
      </w:r>
    </w:p>
    <w:p w14:paraId="156E3A69" w14:textId="77777777" w:rsidR="003F0F7D" w:rsidRPr="004F1D5B" w:rsidRDefault="003F0F7D" w:rsidP="003F0F7D">
      <w:pPr>
        <w:jc w:val="both"/>
        <w:rPr>
          <w:b/>
          <w:bCs/>
          <w:sz w:val="12"/>
        </w:rPr>
      </w:pPr>
    </w:p>
    <w:p w14:paraId="26B8294A" w14:textId="585CBBBF" w:rsidR="002F1628" w:rsidRDefault="002F1628" w:rsidP="00EE353D">
      <w:pPr>
        <w:jc w:val="both"/>
      </w:pPr>
      <w:r w:rsidRPr="00A60B25">
        <w:t xml:space="preserve">L’enjeu des conférences techniques de l’année </w:t>
      </w:r>
      <w:r w:rsidR="001D5E75">
        <w:t>2022</w:t>
      </w:r>
      <w:r w:rsidR="001D5E75" w:rsidRPr="00A60B25">
        <w:t xml:space="preserve"> </w:t>
      </w:r>
      <w:r w:rsidRPr="00A60B25">
        <w:t>est double : il s’agit</w:t>
      </w:r>
      <w:r w:rsidR="00EE4DEC">
        <w:t xml:space="preserve">, </w:t>
      </w:r>
      <w:r w:rsidRPr="00A60B25">
        <w:t>d’une part</w:t>
      </w:r>
      <w:r w:rsidR="00EE4DEC">
        <w:t xml:space="preserve">, </w:t>
      </w:r>
      <w:r w:rsidRPr="00A60B25">
        <w:t xml:space="preserve">d’analyser l’exécution de l’année </w:t>
      </w:r>
      <w:r w:rsidR="001D5E75">
        <w:t>2021</w:t>
      </w:r>
      <w:r w:rsidR="001D5E75" w:rsidRPr="00A60B25">
        <w:t xml:space="preserve"> </w:t>
      </w:r>
      <w:r w:rsidR="00623D83" w:rsidRPr="00A60B25">
        <w:t>en crédits et en emplois</w:t>
      </w:r>
      <w:r w:rsidRPr="00A60B25">
        <w:t xml:space="preserve">, </w:t>
      </w:r>
      <w:r w:rsidRPr="00462486">
        <w:rPr>
          <w:u w:val="single"/>
        </w:rPr>
        <w:t xml:space="preserve">afin de </w:t>
      </w:r>
      <w:r w:rsidR="00623D83" w:rsidRPr="00462486">
        <w:rPr>
          <w:u w:val="single"/>
        </w:rPr>
        <w:t>préparer les rapports annuels de</w:t>
      </w:r>
      <w:r w:rsidR="00EE4DEC" w:rsidRPr="00462486">
        <w:rPr>
          <w:u w:val="single"/>
        </w:rPr>
        <w:t xml:space="preserve"> performances </w:t>
      </w:r>
      <w:r w:rsidR="001D5E75" w:rsidRPr="00462486">
        <w:rPr>
          <w:u w:val="single"/>
        </w:rPr>
        <w:t>202</w:t>
      </w:r>
      <w:r w:rsidR="001D5E75">
        <w:rPr>
          <w:u w:val="single"/>
        </w:rPr>
        <w:t>1</w:t>
      </w:r>
      <w:r w:rsidR="001D5E75">
        <w:t xml:space="preserve"> </w:t>
      </w:r>
      <w:r w:rsidR="00EE4DEC" w:rsidRPr="00A60B25">
        <w:t xml:space="preserve">et réaliser une prévision d’exécution pour l’année </w:t>
      </w:r>
      <w:r w:rsidR="001D5E75">
        <w:t>2022</w:t>
      </w:r>
      <w:r w:rsidR="00EE4DEC" w:rsidRPr="00A60B25">
        <w:t>, et d’autre part</w:t>
      </w:r>
      <w:r w:rsidR="00EE4DEC">
        <w:t xml:space="preserve">, </w:t>
      </w:r>
      <w:r w:rsidR="00EE4DEC" w:rsidRPr="00A60B25">
        <w:t>de</w:t>
      </w:r>
      <w:r w:rsidR="00EE4DEC">
        <w:t xml:space="preserve"> </w:t>
      </w:r>
      <w:r w:rsidR="007733EB">
        <w:t xml:space="preserve">déterminer </w:t>
      </w:r>
      <w:r w:rsidR="00037BF8">
        <w:t xml:space="preserve">pour </w:t>
      </w:r>
      <w:r w:rsidR="001D5E75">
        <w:t xml:space="preserve">2023 </w:t>
      </w:r>
      <w:r w:rsidR="007733EB">
        <w:t>l</w:t>
      </w:r>
      <w:r w:rsidR="00EF70DC">
        <w:t>’évolution</w:t>
      </w:r>
      <w:r w:rsidR="007733EB">
        <w:t xml:space="preserve"> </w:t>
      </w:r>
      <w:r w:rsidR="0023628B">
        <w:t xml:space="preserve">de la trajectoire sous-jacente </w:t>
      </w:r>
      <w:r w:rsidR="005C58F2">
        <w:t xml:space="preserve">au PLF </w:t>
      </w:r>
      <w:r w:rsidR="001D5E75">
        <w:t>2022</w:t>
      </w:r>
      <w:r w:rsidR="00037BF8">
        <w:t xml:space="preserve">, </w:t>
      </w:r>
      <w:r w:rsidR="00037BF8" w:rsidRPr="0039755B">
        <w:rPr>
          <w:u w:val="single"/>
        </w:rPr>
        <w:t xml:space="preserve">en l’étendant à </w:t>
      </w:r>
      <w:r w:rsidR="001D5E75" w:rsidRPr="0039755B">
        <w:rPr>
          <w:u w:val="single"/>
        </w:rPr>
        <w:t>202</w:t>
      </w:r>
      <w:r w:rsidR="0045218B">
        <w:rPr>
          <w:u w:val="single"/>
        </w:rPr>
        <w:t>7</w:t>
      </w:r>
      <w:r w:rsidR="00786A1C">
        <w:rPr>
          <w:u w:val="single"/>
        </w:rPr>
        <w:t>, l</w:t>
      </w:r>
      <w:r w:rsidR="00617D6F" w:rsidRPr="0039755B">
        <w:rPr>
          <w:u w:val="single"/>
        </w:rPr>
        <w:t>orsque la dépense ministérielle fait l’objet d’une programmation pluriannuelle ou d’un projet d’une telle programmation</w:t>
      </w:r>
      <w:r w:rsidR="00786A1C">
        <w:rPr>
          <w:u w:val="single"/>
        </w:rPr>
        <w:t xml:space="preserve"> -</w:t>
      </w:r>
      <w:r w:rsidR="00526678">
        <w:t>,</w:t>
      </w:r>
      <w:r w:rsidR="00037BF8">
        <w:t xml:space="preserve"> et </w:t>
      </w:r>
      <w:r w:rsidR="00C97AE0">
        <w:t xml:space="preserve">en portant une attention particulière à l’articulation entre cette dernière et l’évolution de l’organisation territoriale de l’Etat. A cette fin, </w:t>
      </w:r>
      <w:r w:rsidR="00C97AE0" w:rsidRPr="008D2A47">
        <w:rPr>
          <w:b/>
        </w:rPr>
        <w:t>la ventilation entre administration centrale et service</w:t>
      </w:r>
      <w:r w:rsidR="002A3E5D">
        <w:rPr>
          <w:b/>
        </w:rPr>
        <w:t>s</w:t>
      </w:r>
      <w:r w:rsidR="00C97AE0" w:rsidRPr="008D2A47">
        <w:rPr>
          <w:b/>
        </w:rPr>
        <w:t xml:space="preserve"> déconcentrés sera détaillée par les ministères</w:t>
      </w:r>
      <w:r w:rsidR="00C97AE0">
        <w:t>.</w:t>
      </w:r>
      <w:r w:rsidR="005F1796">
        <w:t xml:space="preserve"> </w:t>
      </w:r>
    </w:p>
    <w:p w14:paraId="0214C983" w14:textId="77777777" w:rsidR="002F1628" w:rsidRPr="004F1D5B" w:rsidRDefault="002F1628" w:rsidP="002F1628">
      <w:pPr>
        <w:jc w:val="both"/>
        <w:rPr>
          <w:sz w:val="16"/>
        </w:rPr>
      </w:pPr>
    </w:p>
    <w:p w14:paraId="728360F5" w14:textId="6D83B422" w:rsidR="002F1628" w:rsidRPr="00A60B25" w:rsidRDefault="007D2335" w:rsidP="00EE353D">
      <w:pPr>
        <w:jc w:val="both"/>
      </w:pPr>
      <w:r>
        <w:t>Le format des tableaux</w:t>
      </w:r>
      <w:r w:rsidR="00321DB7">
        <w:t>,</w:t>
      </w:r>
      <w:r w:rsidR="00F17125">
        <w:t xml:space="preserve"> joint</w:t>
      </w:r>
      <w:r w:rsidR="007968EF">
        <w:t>s</w:t>
      </w:r>
      <w:r w:rsidR="00F17125">
        <w:t xml:space="preserve"> à la présente annexe</w:t>
      </w:r>
      <w:r>
        <w:t xml:space="preserve">, tient compte du souci de </w:t>
      </w:r>
      <w:r w:rsidR="00623D83" w:rsidRPr="00A60B25">
        <w:t xml:space="preserve">simplifier, autant qu’il </w:t>
      </w:r>
      <w:r>
        <w:t xml:space="preserve">est </w:t>
      </w:r>
      <w:r w:rsidR="00623D83" w:rsidRPr="00A60B25">
        <w:t xml:space="preserve">possible, les demandes d’information aux ministères faisant l’objet d’échanges avec les bureaux de la direction du budget, tout en </w:t>
      </w:r>
      <w:r w:rsidR="00A45EF0" w:rsidRPr="00A60B25">
        <w:t>proposant des</w:t>
      </w:r>
      <w:r w:rsidR="00623D83" w:rsidRPr="00A60B25">
        <w:t xml:space="preserve"> formats </w:t>
      </w:r>
      <w:r w:rsidR="00A45EF0" w:rsidRPr="00A60B25">
        <w:t xml:space="preserve">en </w:t>
      </w:r>
      <w:r w:rsidR="00B51351" w:rsidRPr="00A60B25">
        <w:t>adéquation</w:t>
      </w:r>
      <w:r w:rsidR="00A45EF0" w:rsidRPr="00A60B25">
        <w:t xml:space="preserve"> avec ceux </w:t>
      </w:r>
      <w:r w:rsidR="00623D83" w:rsidRPr="00A60B25">
        <w:t xml:space="preserve">demandés </w:t>
      </w:r>
      <w:r w:rsidR="001A657C">
        <w:t xml:space="preserve">notamment </w:t>
      </w:r>
      <w:r w:rsidR="00005C38" w:rsidRPr="00A60B25">
        <w:t xml:space="preserve">dans </w:t>
      </w:r>
      <w:r w:rsidR="00A45EF0" w:rsidRPr="00A60B25">
        <w:t>les documents prévisionnels de gestion des emplois et des crédits de personnel (DPGECP)</w:t>
      </w:r>
      <w:r w:rsidR="00623D83" w:rsidRPr="00A60B25">
        <w:t>.</w:t>
      </w:r>
      <w:r w:rsidR="00B51351" w:rsidRPr="00A60B25">
        <w:t xml:space="preserve"> Les ministères veilleront </w:t>
      </w:r>
      <w:r w:rsidR="004830E7" w:rsidRPr="00A60B25">
        <w:t xml:space="preserve">donc </w:t>
      </w:r>
      <w:r w:rsidR="00B51351" w:rsidRPr="00A60B25">
        <w:t xml:space="preserve">à la cohérence des </w:t>
      </w:r>
      <w:r w:rsidR="004830E7" w:rsidRPr="00A60B25">
        <w:t xml:space="preserve">données entre </w:t>
      </w:r>
      <w:r w:rsidR="00B51351" w:rsidRPr="00A60B25">
        <w:t>ces documents.</w:t>
      </w:r>
      <w:r w:rsidR="00AA472C">
        <w:t xml:space="preserve"> A cet effet, les données du DPGECP relatives à l’exécution n-1 pourront utilement être reprises afin de renseigner l’onglet </w:t>
      </w:r>
      <w:r w:rsidR="00593BD7">
        <w:t>« </w:t>
      </w:r>
      <w:r w:rsidR="00AA472C">
        <w:t>RAP n-1</w:t>
      </w:r>
      <w:r w:rsidR="00593BD7">
        <w:t> »</w:t>
      </w:r>
      <w:r w:rsidR="00AA472C">
        <w:t xml:space="preserve"> de la présente annexe</w:t>
      </w:r>
      <w:r w:rsidR="00593BD7">
        <w:t xml:space="preserve"> </w:t>
      </w:r>
      <w:r w:rsidR="00593BD7" w:rsidRPr="00526678">
        <w:rPr>
          <w:b/>
          <w:i/>
        </w:rPr>
        <w:t xml:space="preserve">(Tableau </w:t>
      </w:r>
      <w:r w:rsidR="00A6537C">
        <w:rPr>
          <w:b/>
          <w:i/>
        </w:rPr>
        <w:t>11</w:t>
      </w:r>
      <w:r w:rsidR="00593BD7" w:rsidRPr="00526678">
        <w:rPr>
          <w:b/>
          <w:i/>
        </w:rPr>
        <w:t>)</w:t>
      </w:r>
      <w:r w:rsidR="00AA472C">
        <w:t xml:space="preserve">. </w:t>
      </w:r>
    </w:p>
    <w:p w14:paraId="7506AAE7" w14:textId="30C5F4A1" w:rsidR="00593BD7" w:rsidRPr="004F1D5B" w:rsidRDefault="00593BD7" w:rsidP="006A49CC">
      <w:pPr>
        <w:jc w:val="both"/>
        <w:rPr>
          <w:sz w:val="16"/>
        </w:rPr>
      </w:pPr>
    </w:p>
    <w:p w14:paraId="6171F63D" w14:textId="77777777" w:rsidR="002F1628" w:rsidRPr="00A60B25" w:rsidRDefault="002F1628" w:rsidP="00623D83">
      <w:pPr>
        <w:jc w:val="both"/>
      </w:pPr>
      <w:r w:rsidRPr="00A60B25">
        <w:t xml:space="preserve">Les tableaux ci-joints s’organisent en </w:t>
      </w:r>
      <w:r w:rsidR="00EA2D08">
        <w:t xml:space="preserve">deux </w:t>
      </w:r>
      <w:r w:rsidRPr="00A60B25">
        <w:t xml:space="preserve">parties : </w:t>
      </w:r>
    </w:p>
    <w:p w14:paraId="6C0070C0" w14:textId="4C2B07A6" w:rsidR="002F1628" w:rsidRPr="00A60B25" w:rsidRDefault="002F1628" w:rsidP="00312A9A">
      <w:pPr>
        <w:numPr>
          <w:ilvl w:val="0"/>
          <w:numId w:val="1"/>
        </w:numPr>
        <w:spacing w:before="120"/>
        <w:jc w:val="both"/>
      </w:pPr>
      <w:r w:rsidRPr="00A60B25">
        <w:t xml:space="preserve">l’analyse de l’exécution </w:t>
      </w:r>
      <w:r w:rsidR="00DF47A3">
        <w:t>2021</w:t>
      </w:r>
      <w:r w:rsidR="00DF47A3" w:rsidRPr="00A60B25">
        <w:t xml:space="preserve"> </w:t>
      </w:r>
      <w:r w:rsidRPr="00A60B25">
        <w:t xml:space="preserve">et la prévision d’exécution pour l’année </w:t>
      </w:r>
      <w:r w:rsidR="00DF47A3">
        <w:t xml:space="preserve">2022 </w:t>
      </w:r>
      <w:r w:rsidRPr="00A60B25">
        <w:t>;</w:t>
      </w:r>
    </w:p>
    <w:p w14:paraId="67F279D9" w14:textId="132BBD9D" w:rsidR="002F1628" w:rsidRDefault="002F1628" w:rsidP="007E2551">
      <w:pPr>
        <w:numPr>
          <w:ilvl w:val="0"/>
          <w:numId w:val="1"/>
        </w:numPr>
        <w:spacing w:before="120"/>
        <w:jc w:val="both"/>
      </w:pPr>
      <w:r w:rsidRPr="00A60B25">
        <w:t>la détermination d</w:t>
      </w:r>
      <w:r w:rsidR="00EF70DC">
        <w:t>e l</w:t>
      </w:r>
      <w:r w:rsidR="00C11475">
        <w:t>’</w:t>
      </w:r>
      <w:r w:rsidR="00EF70DC">
        <w:t xml:space="preserve">évolution </w:t>
      </w:r>
      <w:r w:rsidR="00285CB3">
        <w:t xml:space="preserve">tendancielle </w:t>
      </w:r>
      <w:r w:rsidR="0023628B">
        <w:t xml:space="preserve">de la trajectoire sous-jacente </w:t>
      </w:r>
      <w:r w:rsidR="009A7497">
        <w:t xml:space="preserve">au PLF </w:t>
      </w:r>
      <w:r w:rsidR="00DF47A3">
        <w:t xml:space="preserve">2022 </w:t>
      </w:r>
      <w:r w:rsidR="00617D6F">
        <w:t xml:space="preserve">pour </w:t>
      </w:r>
      <w:r w:rsidR="00DF47A3">
        <w:t xml:space="preserve">2023 </w:t>
      </w:r>
      <w:r w:rsidR="009A7497" w:rsidRPr="0039755B">
        <w:rPr>
          <w:u w:val="single"/>
        </w:rPr>
        <w:t xml:space="preserve">en l’étendant à </w:t>
      </w:r>
      <w:r w:rsidR="00DF47A3" w:rsidRPr="0039755B">
        <w:rPr>
          <w:u w:val="single"/>
        </w:rPr>
        <w:t>202</w:t>
      </w:r>
      <w:r w:rsidR="0045218B">
        <w:rPr>
          <w:u w:val="single"/>
        </w:rPr>
        <w:t>7</w:t>
      </w:r>
      <w:r w:rsidR="002347DF">
        <w:rPr>
          <w:u w:val="single"/>
        </w:rPr>
        <w:t>,</w:t>
      </w:r>
      <w:r w:rsidR="00DF47A3" w:rsidRPr="0039755B">
        <w:rPr>
          <w:u w:val="single"/>
        </w:rPr>
        <w:t xml:space="preserve"> </w:t>
      </w:r>
      <w:r w:rsidR="00617D6F" w:rsidRPr="0039755B">
        <w:rPr>
          <w:u w:val="single"/>
        </w:rPr>
        <w:t>le cas échéant</w:t>
      </w:r>
      <w:r w:rsidR="009A7497">
        <w:t>.</w:t>
      </w:r>
    </w:p>
    <w:p w14:paraId="35A3FDA2" w14:textId="77777777" w:rsidR="00F17125" w:rsidRDefault="00F17125" w:rsidP="00C11475">
      <w:pPr>
        <w:jc w:val="both"/>
        <w:rPr>
          <w:u w:val="single"/>
        </w:rPr>
      </w:pPr>
    </w:p>
    <w:p w14:paraId="346A472D" w14:textId="7F4F0851" w:rsidR="00C11475" w:rsidRPr="00A60B25" w:rsidRDefault="00C11475" w:rsidP="00C11475">
      <w:pPr>
        <w:jc w:val="both"/>
      </w:pPr>
      <w:r w:rsidRPr="00A60B25">
        <w:rPr>
          <w:u w:val="single"/>
        </w:rPr>
        <w:t>L</w:t>
      </w:r>
      <w:r w:rsidR="00B32D2D">
        <w:rPr>
          <w:u w:val="single"/>
        </w:rPr>
        <w:t>a détermination de cette évolution</w:t>
      </w:r>
      <w:r w:rsidRPr="00AD37A7">
        <w:t xml:space="preserve"> </w:t>
      </w:r>
      <w:r w:rsidRPr="00A60B25">
        <w:t xml:space="preserve">reposera </w:t>
      </w:r>
      <w:r>
        <w:t xml:space="preserve">en particulier </w:t>
      </w:r>
      <w:r w:rsidRPr="00A60B25">
        <w:t>sur les hypothèses suivantes :</w:t>
      </w:r>
    </w:p>
    <w:p w14:paraId="29828437" w14:textId="1ADB8B89" w:rsidR="004911AA" w:rsidRDefault="004911AA" w:rsidP="004911AA">
      <w:pPr>
        <w:pStyle w:val="Paragraphedeliste"/>
        <w:widowControl w:val="0"/>
        <w:numPr>
          <w:ilvl w:val="0"/>
          <w:numId w:val="1"/>
        </w:numPr>
        <w:spacing w:before="120"/>
        <w:contextualSpacing/>
        <w:jc w:val="both"/>
      </w:pPr>
      <w:r w:rsidRPr="004911AA">
        <w:t>une valeur stable du point</w:t>
      </w:r>
      <w:r w:rsidR="004F1D5B">
        <w:t xml:space="preserve"> fonction publique à 56,2323 € </w:t>
      </w:r>
      <w:r w:rsidRPr="004911AA">
        <w:t xml:space="preserve">; </w:t>
      </w:r>
    </w:p>
    <w:p w14:paraId="2175D72E" w14:textId="5B808C70" w:rsidR="00241533" w:rsidRDefault="00526678" w:rsidP="00526678">
      <w:pPr>
        <w:pStyle w:val="Paragraphedeliste"/>
        <w:numPr>
          <w:ilvl w:val="0"/>
          <w:numId w:val="1"/>
        </w:numPr>
        <w:spacing w:before="120"/>
        <w:jc w:val="both"/>
      </w:pPr>
      <w:r w:rsidRPr="00593BD7">
        <w:t xml:space="preserve">des enveloppes catégorielles limitées à la mise en œuvre des seuls protocoles pris en compte dans les sous-jacents du PLF </w:t>
      </w:r>
      <w:r w:rsidR="00DF47A3" w:rsidRPr="00593BD7">
        <w:t>202</w:t>
      </w:r>
      <w:r w:rsidR="00EC0539">
        <w:t>2</w:t>
      </w:r>
      <w:r w:rsidR="00DF47A3" w:rsidRPr="00593BD7">
        <w:t xml:space="preserve"> </w:t>
      </w:r>
      <w:r w:rsidRPr="00593BD7">
        <w:t xml:space="preserve">et arbitrés, le cas échéant en lettre plafond </w:t>
      </w:r>
      <w:r w:rsidR="00DF47A3" w:rsidRPr="00593BD7">
        <w:t>202</w:t>
      </w:r>
      <w:r w:rsidR="00EC0539">
        <w:t>2</w:t>
      </w:r>
      <w:r w:rsidR="00241533">
        <w:t> ;</w:t>
      </w:r>
    </w:p>
    <w:p w14:paraId="06EF3C88" w14:textId="0DD21855" w:rsidR="00526678" w:rsidRDefault="00972FF0" w:rsidP="00526678">
      <w:pPr>
        <w:pStyle w:val="Paragraphedeliste"/>
        <w:numPr>
          <w:ilvl w:val="0"/>
          <w:numId w:val="1"/>
        </w:numPr>
        <w:spacing w:before="120"/>
        <w:jc w:val="both"/>
      </w:pPr>
      <w:r>
        <w:t>une évolution des effectifs limitée aux seules programmations prises en compte dans les sous-jacents du PLF 202</w:t>
      </w:r>
      <w:r w:rsidR="00EC0539">
        <w:t>2</w:t>
      </w:r>
      <w:r>
        <w:t xml:space="preserve"> et arbitrées, le cas échéant en lettre plafond 202</w:t>
      </w:r>
      <w:r w:rsidR="00EC0539">
        <w:t>2</w:t>
      </w:r>
      <w:r w:rsidR="00DF47A3">
        <w:t>.</w:t>
      </w:r>
      <w:r w:rsidR="00526678" w:rsidRPr="00593BD7" w:rsidDel="0002396E">
        <w:t xml:space="preserve"> </w:t>
      </w:r>
    </w:p>
    <w:p w14:paraId="006E5FC1" w14:textId="77777777" w:rsidR="00526678" w:rsidRDefault="00526678" w:rsidP="00005C38">
      <w:pPr>
        <w:jc w:val="both"/>
      </w:pPr>
    </w:p>
    <w:p w14:paraId="333615C6" w14:textId="27C0482D" w:rsidR="00623D83" w:rsidRDefault="002F1628" w:rsidP="00577563">
      <w:pPr>
        <w:jc w:val="both"/>
        <w:rPr>
          <w:sz w:val="20"/>
          <w:szCs w:val="20"/>
        </w:rPr>
      </w:pPr>
      <w:r w:rsidRPr="00A60B25">
        <w:t xml:space="preserve">Les ministères </w:t>
      </w:r>
      <w:r w:rsidR="0054143A">
        <w:t>sont invités à</w:t>
      </w:r>
      <w:r w:rsidR="0054143A" w:rsidRPr="00A60B25">
        <w:t xml:space="preserve"> </w:t>
      </w:r>
      <w:r w:rsidRPr="00A60B25">
        <w:t>utiliser l’outil de budgétisation des dépenses de personnel (« outil 2BPSS ») qui</w:t>
      </w:r>
      <w:r w:rsidR="00005C38" w:rsidRPr="00A60B25">
        <w:t xml:space="preserve"> permet de renseigner</w:t>
      </w:r>
      <w:r w:rsidR="00DC5AE5">
        <w:t>,</w:t>
      </w:r>
      <w:r w:rsidR="00005C38" w:rsidRPr="00A60B25">
        <w:t xml:space="preserve"> </w:t>
      </w:r>
      <w:r w:rsidR="00DC5AE5">
        <w:t xml:space="preserve">en </w:t>
      </w:r>
      <w:r w:rsidR="000362FF">
        <w:t xml:space="preserve">majeure </w:t>
      </w:r>
      <w:r w:rsidR="00DC5AE5">
        <w:t>partie, l</w:t>
      </w:r>
      <w:r w:rsidR="00005C38" w:rsidRPr="00A60B25">
        <w:t>es tableaux demandés</w:t>
      </w:r>
      <w:r w:rsidR="001A657C">
        <w:t xml:space="preserve"> et à </w:t>
      </w:r>
      <w:r w:rsidR="001A657C" w:rsidRPr="009E60EE">
        <w:t xml:space="preserve">consulter </w:t>
      </w:r>
      <w:hyperlink r:id="rId8" w:history="1">
        <w:r w:rsidR="001A657C" w:rsidRPr="009E60EE">
          <w:rPr>
            <w:rStyle w:val="Lienhypertexte"/>
            <w:color w:val="auto"/>
          </w:rPr>
          <w:t>le guide d’utilisation de l’outil</w:t>
        </w:r>
      </w:hyperlink>
      <w:r w:rsidR="001A657C" w:rsidRPr="009E60EE">
        <w:t xml:space="preserve"> qui </w:t>
      </w:r>
      <w:r w:rsidR="001A657C">
        <w:t>rappelle la méthodologie appliquée à la budgétisation des emplois et de la masse salariale</w:t>
      </w:r>
      <w:r w:rsidR="005C0304">
        <w:t xml:space="preserve"> </w:t>
      </w:r>
      <w:r w:rsidR="00881DE8">
        <w:t>[</w:t>
      </w:r>
      <w:r w:rsidR="00526678" w:rsidRPr="00C87EEC">
        <w:rPr>
          <w:sz w:val="20"/>
          <w:szCs w:val="20"/>
        </w:rPr>
        <w:t xml:space="preserve">cf. circulaire 2BPSS-19-4622 (NOR : CPAB1901880C) </w:t>
      </w:r>
      <w:hyperlink r:id="rId9" w:tgtFrame="_blank" w:history="1">
        <w:r w:rsidR="00526678" w:rsidRPr="004F1D5B">
          <w:rPr>
            <w:rStyle w:val="Lienhypertexte"/>
            <w:color w:val="auto"/>
            <w:sz w:val="20"/>
            <w:szCs w:val="20"/>
            <w:u w:val="single"/>
          </w:rPr>
          <w:t>relative à l'actualisation de l'outil 2BPSS d'aide à la budgétisation des dépenses de personnel</w:t>
        </w:r>
      </w:hyperlink>
      <w:r w:rsidR="00881DE8">
        <w:rPr>
          <w:sz w:val="20"/>
          <w:szCs w:val="20"/>
        </w:rPr>
        <w:t>]</w:t>
      </w:r>
      <w:r w:rsidR="005C0304" w:rsidRPr="00C87EEC">
        <w:rPr>
          <w:sz w:val="20"/>
          <w:szCs w:val="20"/>
        </w:rPr>
        <w:t xml:space="preserve">. </w:t>
      </w:r>
      <w:bookmarkStart w:id="0" w:name="_GoBack"/>
      <w:bookmarkEnd w:id="0"/>
      <w:r w:rsidR="005C0304">
        <w:t>L</w:t>
      </w:r>
      <w:r w:rsidR="00C87EEC">
        <w:t xml:space="preserve">’outil étant inchangé par rapport à </w:t>
      </w:r>
      <w:r w:rsidR="00DF47A3">
        <w:t>2021</w:t>
      </w:r>
      <w:r w:rsidR="00C87EEC">
        <w:t xml:space="preserve">, la version </w:t>
      </w:r>
      <w:r w:rsidR="005C0304">
        <w:t xml:space="preserve">actualisée à l’année de budgétisation </w:t>
      </w:r>
      <w:r w:rsidR="00DF47A3">
        <w:t xml:space="preserve">2023 </w:t>
      </w:r>
      <w:r w:rsidR="005C0304">
        <w:t xml:space="preserve">sera transmise </w:t>
      </w:r>
      <w:r w:rsidR="00C87EEC">
        <w:t xml:space="preserve">par courrier électronique aux correspondants budgétaires des ministères </w:t>
      </w:r>
      <w:r w:rsidR="005C0304">
        <w:t xml:space="preserve">par les bureaux sectoriels de la direction </w:t>
      </w:r>
      <w:r w:rsidR="00C87EEC">
        <w:t>du budget.</w:t>
      </w:r>
      <w:r w:rsidR="005C0304">
        <w:t xml:space="preserve"> </w:t>
      </w:r>
      <w:r w:rsidR="00697BC8">
        <w:rPr>
          <w:sz w:val="20"/>
          <w:szCs w:val="20"/>
        </w:rPr>
        <w:br w:type="page"/>
      </w:r>
    </w:p>
    <w:p w14:paraId="52B81816" w14:textId="74DA714E" w:rsidR="00844218" w:rsidRPr="004959FB" w:rsidRDefault="0089735B" w:rsidP="00496A4E">
      <w:pPr>
        <w:numPr>
          <w:ilvl w:val="0"/>
          <w:numId w:val="2"/>
        </w:numPr>
        <w:tabs>
          <w:tab w:val="clear" w:pos="1080"/>
          <w:tab w:val="num" w:pos="720"/>
        </w:tabs>
        <w:spacing w:after="240"/>
        <w:ind w:left="714" w:hanging="357"/>
        <w:jc w:val="both"/>
        <w:rPr>
          <w:b/>
          <w:bCs/>
          <w:u w:val="single"/>
        </w:rPr>
      </w:pPr>
      <w:r w:rsidRPr="004959FB">
        <w:rPr>
          <w:b/>
          <w:bCs/>
          <w:u w:val="single"/>
        </w:rPr>
        <w:lastRenderedPageBreak/>
        <w:t>Analyse</w:t>
      </w:r>
      <w:r w:rsidRPr="009E60EE">
        <w:rPr>
          <w:b/>
          <w:bCs/>
          <w:u w:val="single"/>
        </w:rPr>
        <w:t xml:space="preserve"> de l’exécution </w:t>
      </w:r>
      <w:r w:rsidR="00DF47A3" w:rsidRPr="009E60EE">
        <w:rPr>
          <w:b/>
          <w:bCs/>
          <w:u w:val="single"/>
        </w:rPr>
        <w:t>20</w:t>
      </w:r>
      <w:r w:rsidR="00DF47A3">
        <w:rPr>
          <w:b/>
          <w:bCs/>
          <w:u w:val="single"/>
        </w:rPr>
        <w:t>21</w:t>
      </w:r>
      <w:r w:rsidR="00DF47A3" w:rsidRPr="009E60EE">
        <w:rPr>
          <w:b/>
          <w:bCs/>
          <w:u w:val="single"/>
        </w:rPr>
        <w:t xml:space="preserve"> </w:t>
      </w:r>
      <w:r w:rsidRPr="009E60EE">
        <w:rPr>
          <w:b/>
          <w:bCs/>
          <w:u w:val="single"/>
        </w:rPr>
        <w:t>des crédits de titre 2</w:t>
      </w:r>
      <w:r w:rsidR="006005DA" w:rsidRPr="009E60EE">
        <w:rPr>
          <w:b/>
          <w:bCs/>
          <w:u w:val="single"/>
        </w:rPr>
        <w:t>,</w:t>
      </w:r>
      <w:r w:rsidRPr="009E60EE">
        <w:rPr>
          <w:b/>
          <w:bCs/>
          <w:u w:val="single"/>
        </w:rPr>
        <w:t xml:space="preserve"> prévision d’exécution </w:t>
      </w:r>
      <w:r w:rsidR="00DF47A3" w:rsidRPr="009E60EE">
        <w:rPr>
          <w:b/>
          <w:bCs/>
          <w:u w:val="single"/>
        </w:rPr>
        <w:t>20</w:t>
      </w:r>
      <w:r w:rsidR="00DF47A3">
        <w:rPr>
          <w:b/>
          <w:bCs/>
          <w:u w:val="single"/>
        </w:rPr>
        <w:t>22</w:t>
      </w:r>
      <w:r w:rsidR="00DF47A3" w:rsidRPr="009E60EE">
        <w:rPr>
          <w:b/>
          <w:bCs/>
          <w:u w:val="single"/>
        </w:rPr>
        <w:t xml:space="preserve"> </w:t>
      </w:r>
      <w:r w:rsidR="006005DA" w:rsidRPr="009E60EE">
        <w:rPr>
          <w:b/>
          <w:bCs/>
          <w:u w:val="single"/>
        </w:rPr>
        <w:t xml:space="preserve">et </w:t>
      </w:r>
      <w:r w:rsidR="00B7167A">
        <w:rPr>
          <w:b/>
          <w:bCs/>
          <w:u w:val="single"/>
        </w:rPr>
        <w:t>budgétisation</w:t>
      </w:r>
      <w:r w:rsidR="006005DA" w:rsidRPr="009E60EE">
        <w:rPr>
          <w:b/>
          <w:bCs/>
          <w:u w:val="single"/>
        </w:rPr>
        <w:t xml:space="preserve"> </w:t>
      </w:r>
      <w:r w:rsidR="00DF47A3" w:rsidRPr="009E60EE">
        <w:rPr>
          <w:b/>
          <w:bCs/>
          <w:u w:val="single"/>
        </w:rPr>
        <w:t>20</w:t>
      </w:r>
      <w:r w:rsidR="00DF47A3">
        <w:rPr>
          <w:b/>
          <w:bCs/>
          <w:u w:val="single"/>
        </w:rPr>
        <w:t xml:space="preserve">23 </w:t>
      </w:r>
      <w:r w:rsidR="005F7357" w:rsidRPr="004959FB">
        <w:rPr>
          <w:b/>
          <w:bCs/>
          <w:u w:val="single"/>
        </w:rPr>
        <w:t xml:space="preserve">étendue à </w:t>
      </w:r>
      <w:r w:rsidR="00DF47A3" w:rsidRPr="004959FB">
        <w:rPr>
          <w:b/>
          <w:bCs/>
          <w:u w:val="single"/>
        </w:rPr>
        <w:t>202</w:t>
      </w:r>
      <w:r w:rsidR="0045218B">
        <w:rPr>
          <w:b/>
          <w:bCs/>
          <w:u w:val="single"/>
        </w:rPr>
        <w:t>7</w:t>
      </w:r>
    </w:p>
    <w:p w14:paraId="1B15AE2F" w14:textId="77777777" w:rsidR="00844218" w:rsidRPr="00A60B25" w:rsidRDefault="00844218" w:rsidP="005A679A">
      <w:pPr>
        <w:jc w:val="both"/>
      </w:pPr>
      <w:r w:rsidRPr="004959FB">
        <w:t>Cette analyse se concen</w:t>
      </w:r>
      <w:r w:rsidR="009E7418" w:rsidRPr="004959FB">
        <w:t>trera sur les p</w:t>
      </w:r>
      <w:r w:rsidR="009E7418" w:rsidRPr="00A60B25">
        <w:t>oints suivants :</w:t>
      </w:r>
    </w:p>
    <w:p w14:paraId="29C803D6" w14:textId="77777777" w:rsidR="00844218" w:rsidRPr="00A60B25" w:rsidRDefault="00844218" w:rsidP="005A679A">
      <w:pPr>
        <w:jc w:val="both"/>
      </w:pPr>
    </w:p>
    <w:p w14:paraId="7947FC82" w14:textId="6E82C766" w:rsidR="00844218" w:rsidRPr="00577563" w:rsidRDefault="00844218" w:rsidP="00312A9A">
      <w:pPr>
        <w:numPr>
          <w:ilvl w:val="1"/>
          <w:numId w:val="3"/>
        </w:numPr>
        <w:tabs>
          <w:tab w:val="clear" w:pos="1440"/>
          <w:tab w:val="num" w:pos="720"/>
        </w:tabs>
        <w:ind w:left="0" w:firstLine="360"/>
        <w:jc w:val="both"/>
        <w:rPr>
          <w:sz w:val="22"/>
          <w:szCs w:val="22"/>
        </w:rPr>
      </w:pPr>
      <w:r w:rsidRPr="00A60B25">
        <w:rPr>
          <w:u w:val="single"/>
        </w:rPr>
        <w:t>L’</w:t>
      </w:r>
      <w:r w:rsidR="00016D04" w:rsidRPr="00A60B25">
        <w:rPr>
          <w:u w:val="single"/>
        </w:rPr>
        <w:t xml:space="preserve">analyse de l’écart à la LFI de l’exécution </w:t>
      </w:r>
      <w:r w:rsidRPr="00A60B25">
        <w:rPr>
          <w:u w:val="single"/>
        </w:rPr>
        <w:t>de</w:t>
      </w:r>
      <w:r w:rsidR="00016D04" w:rsidRPr="00A60B25">
        <w:rPr>
          <w:u w:val="single"/>
        </w:rPr>
        <w:t>s</w:t>
      </w:r>
      <w:r w:rsidRPr="00A60B25">
        <w:rPr>
          <w:u w:val="single"/>
        </w:rPr>
        <w:t xml:space="preserve"> crédits de titre 2 en </w:t>
      </w:r>
      <w:r w:rsidR="00DF47A3">
        <w:rPr>
          <w:u w:val="single"/>
        </w:rPr>
        <w:t>2021</w:t>
      </w:r>
      <w:r w:rsidRPr="00A60B25">
        <w:t xml:space="preserve">, à partir notamment de l’analyse du solde de fin de gestion, des mouvements de fongibilité </w:t>
      </w:r>
      <w:r w:rsidR="0022138A" w:rsidRPr="00A60B25">
        <w:t xml:space="preserve">asymétrique </w:t>
      </w:r>
      <w:r w:rsidRPr="00A60B25">
        <w:t>non technique et des éventuelles annulations</w:t>
      </w:r>
      <w:r w:rsidR="0022138A" w:rsidRPr="00A60B25">
        <w:t xml:space="preserve"> / ouvertures</w:t>
      </w:r>
      <w:r w:rsidRPr="00A60B25">
        <w:t xml:space="preserve"> de crédits. </w:t>
      </w:r>
      <w:r w:rsidR="00812B2A" w:rsidRPr="00577563">
        <w:rPr>
          <w:b/>
          <w:i/>
          <w:sz w:val="22"/>
          <w:szCs w:val="22"/>
        </w:rPr>
        <w:t>(Tableau 1)</w:t>
      </w:r>
    </w:p>
    <w:p w14:paraId="74D49BA2" w14:textId="77777777" w:rsidR="00175D61" w:rsidRPr="00A60B25" w:rsidRDefault="00175D61" w:rsidP="005A679A">
      <w:pPr>
        <w:jc w:val="both"/>
      </w:pPr>
    </w:p>
    <w:p w14:paraId="1B639276" w14:textId="3149A13F" w:rsidR="00456441" w:rsidRPr="00577563" w:rsidRDefault="00456441" w:rsidP="00312A9A">
      <w:pPr>
        <w:numPr>
          <w:ilvl w:val="1"/>
          <w:numId w:val="3"/>
        </w:numPr>
        <w:tabs>
          <w:tab w:val="clear" w:pos="1440"/>
        </w:tabs>
        <w:ind w:left="0" w:firstLine="360"/>
        <w:jc w:val="both"/>
        <w:rPr>
          <w:sz w:val="22"/>
          <w:szCs w:val="22"/>
        </w:rPr>
      </w:pPr>
      <w:r w:rsidRPr="00A60B25">
        <w:rPr>
          <w:u w:val="single"/>
        </w:rPr>
        <w:t>La fongibilité asymétrique</w:t>
      </w:r>
      <w:r w:rsidRPr="00A60B25">
        <w:t>, en faisant l</w:t>
      </w:r>
      <w:r w:rsidR="00497598" w:rsidRPr="00A60B25">
        <w:t xml:space="preserve">a distinction entre </w:t>
      </w:r>
      <w:r w:rsidRPr="00A60B25">
        <w:t>la fongibilité dite « technique » et la fongibilité non technique, liée à des efforts de gestion</w:t>
      </w:r>
      <w:r w:rsidR="0089735B" w:rsidRPr="00A60B25">
        <w:t xml:space="preserve">, et en rappelant les fongibilités asymétriques consolidées en LFI </w:t>
      </w:r>
      <w:r w:rsidR="00DF47A3">
        <w:t>2022</w:t>
      </w:r>
      <w:r w:rsidR="00704BEC" w:rsidRPr="00A60B25">
        <w:t>.</w:t>
      </w:r>
      <w:r w:rsidRPr="00A60B25">
        <w:t xml:space="preserve"> </w:t>
      </w:r>
      <w:r w:rsidR="002C1E6C" w:rsidRPr="00577563">
        <w:rPr>
          <w:b/>
          <w:i/>
          <w:sz w:val="22"/>
          <w:szCs w:val="22"/>
        </w:rPr>
        <w:t xml:space="preserve">(Tableau </w:t>
      </w:r>
      <w:r w:rsidR="00C31E3F" w:rsidRPr="00577563">
        <w:rPr>
          <w:b/>
          <w:i/>
          <w:sz w:val="22"/>
          <w:szCs w:val="22"/>
        </w:rPr>
        <w:t>2</w:t>
      </w:r>
      <w:r w:rsidR="002C1E6C" w:rsidRPr="00577563">
        <w:rPr>
          <w:b/>
          <w:i/>
          <w:sz w:val="22"/>
          <w:szCs w:val="22"/>
        </w:rPr>
        <w:t>)</w:t>
      </w:r>
    </w:p>
    <w:p w14:paraId="55F66F0A" w14:textId="77777777" w:rsidR="00844218" w:rsidRPr="00A60B25" w:rsidRDefault="00844218" w:rsidP="005A679A">
      <w:pPr>
        <w:jc w:val="both"/>
      </w:pPr>
    </w:p>
    <w:p w14:paraId="6A0EB8FC" w14:textId="3DE12A63" w:rsidR="00844218" w:rsidRPr="00577563" w:rsidRDefault="00844218" w:rsidP="00CD3DAE">
      <w:pPr>
        <w:numPr>
          <w:ilvl w:val="1"/>
          <w:numId w:val="3"/>
        </w:numPr>
        <w:tabs>
          <w:tab w:val="clear" w:pos="1440"/>
        </w:tabs>
        <w:ind w:left="0" w:firstLine="360"/>
        <w:jc w:val="both"/>
        <w:rPr>
          <w:sz w:val="22"/>
          <w:szCs w:val="22"/>
        </w:rPr>
      </w:pPr>
      <w:r w:rsidRPr="00A60B25">
        <w:rPr>
          <w:u w:val="single"/>
        </w:rPr>
        <w:t xml:space="preserve">La détermination des éléments à retraiter de l’exécution </w:t>
      </w:r>
      <w:r w:rsidR="00DF47A3">
        <w:rPr>
          <w:u w:val="single"/>
        </w:rPr>
        <w:t>2021</w:t>
      </w:r>
      <w:r w:rsidR="00DF47A3" w:rsidRPr="00A60B25">
        <w:rPr>
          <w:u w:val="single"/>
        </w:rPr>
        <w:t xml:space="preserve"> </w:t>
      </w:r>
      <w:r w:rsidR="009E7418" w:rsidRPr="00A60B25">
        <w:rPr>
          <w:u w:val="single"/>
        </w:rPr>
        <w:t xml:space="preserve">et du socle d’exécution </w:t>
      </w:r>
      <w:r w:rsidR="00DF47A3">
        <w:rPr>
          <w:u w:val="single"/>
        </w:rPr>
        <w:t xml:space="preserve">2021 </w:t>
      </w:r>
      <w:r w:rsidR="00DF47A3" w:rsidRPr="00A60B25">
        <w:rPr>
          <w:u w:val="single"/>
        </w:rPr>
        <w:t xml:space="preserve"> </w:t>
      </w:r>
      <w:r w:rsidR="009E7418" w:rsidRPr="00A60B25">
        <w:rPr>
          <w:u w:val="single"/>
        </w:rPr>
        <w:t>retraité</w:t>
      </w:r>
      <w:r w:rsidR="009E7418" w:rsidRPr="00A60B25">
        <w:t xml:space="preserve"> à partir duquel </w:t>
      </w:r>
      <w:r w:rsidRPr="00A60B25">
        <w:t xml:space="preserve">pourront être appliqués les différents facteurs d’évolution de la masse salariale pour l’année </w:t>
      </w:r>
      <w:r w:rsidR="00DF47A3">
        <w:t>2022</w:t>
      </w:r>
      <w:r w:rsidRPr="00A60B25">
        <w:t>, afin d’établir une prévision d’exécution</w:t>
      </w:r>
      <w:r w:rsidR="00704BEC" w:rsidRPr="00A60B25">
        <w:t>. S’agissant des mesures de transfert et de périmètre, il conviendra, dans la mesure du possible, de ne pas se limiter à la simple reprise des hypothèses sous-jacentes à la budgétisation mais de prendre en compte l’exécution réelle.</w:t>
      </w:r>
      <w:r w:rsidR="002C1E6C">
        <w:t xml:space="preserve"> </w:t>
      </w:r>
      <w:r w:rsidR="002C1E6C" w:rsidRPr="00577563">
        <w:rPr>
          <w:b/>
          <w:i/>
          <w:sz w:val="22"/>
          <w:szCs w:val="22"/>
        </w:rPr>
        <w:t xml:space="preserve">(Tableau </w:t>
      </w:r>
      <w:r w:rsidR="00C31E3F" w:rsidRPr="00577563">
        <w:rPr>
          <w:b/>
          <w:i/>
          <w:sz w:val="22"/>
          <w:szCs w:val="22"/>
        </w:rPr>
        <w:t>3</w:t>
      </w:r>
      <w:r w:rsidR="002C1E6C" w:rsidRPr="00577563">
        <w:rPr>
          <w:b/>
          <w:i/>
          <w:sz w:val="22"/>
          <w:szCs w:val="22"/>
        </w:rPr>
        <w:t>)</w:t>
      </w:r>
    </w:p>
    <w:p w14:paraId="51DB7A08" w14:textId="77777777" w:rsidR="00844218" w:rsidRPr="00A60B25" w:rsidRDefault="00844218" w:rsidP="005A679A">
      <w:pPr>
        <w:jc w:val="both"/>
      </w:pPr>
    </w:p>
    <w:p w14:paraId="6BE5609E" w14:textId="5F6D0B34" w:rsidR="00844218" w:rsidRPr="00577563" w:rsidRDefault="00844218" w:rsidP="00A15488">
      <w:pPr>
        <w:numPr>
          <w:ilvl w:val="1"/>
          <w:numId w:val="3"/>
        </w:numPr>
        <w:tabs>
          <w:tab w:val="clear" w:pos="1440"/>
        </w:tabs>
        <w:ind w:left="0" w:firstLine="360"/>
        <w:jc w:val="both"/>
        <w:rPr>
          <w:sz w:val="22"/>
          <w:szCs w:val="22"/>
        </w:rPr>
      </w:pPr>
      <w:r w:rsidRPr="00A15488">
        <w:rPr>
          <w:u w:val="single"/>
        </w:rPr>
        <w:t>La détermination des principaux facteurs d’évolution de la masse salariale</w:t>
      </w:r>
      <w:r w:rsidRPr="00A60B25">
        <w:t xml:space="preserve"> </w:t>
      </w:r>
      <w:r w:rsidR="009E7418" w:rsidRPr="00A60B25">
        <w:t>(GVT</w:t>
      </w:r>
      <w:r w:rsidR="008B7FC9">
        <w:t xml:space="preserve"> positif et négatif</w:t>
      </w:r>
      <w:r w:rsidR="009E7418" w:rsidRPr="00A60B25">
        <w:t xml:space="preserve">, mesures générales, mesures catégorielles, incidence du schéma d’emplois) </w:t>
      </w:r>
      <w:r w:rsidRPr="00E40EFF">
        <w:t xml:space="preserve">en </w:t>
      </w:r>
      <w:r w:rsidR="00B7167A" w:rsidRPr="00E40EFF">
        <w:t>20</w:t>
      </w:r>
      <w:r w:rsidR="008C04C4">
        <w:t>2</w:t>
      </w:r>
      <w:r w:rsidR="00252086">
        <w:t>1</w:t>
      </w:r>
      <w:r w:rsidR="00B7167A" w:rsidRPr="00E40EFF">
        <w:t xml:space="preserve"> </w:t>
      </w:r>
      <w:r w:rsidRPr="00E40EFF">
        <w:t>(exécution)</w:t>
      </w:r>
      <w:r w:rsidR="006005DA" w:rsidRPr="00E40EFF">
        <w:t>,</w:t>
      </w:r>
      <w:r w:rsidRPr="00E40EFF">
        <w:t xml:space="preserve"> en </w:t>
      </w:r>
      <w:r w:rsidR="00252086" w:rsidRPr="00E40EFF">
        <w:t>20</w:t>
      </w:r>
      <w:r w:rsidR="00252086">
        <w:t>22</w:t>
      </w:r>
      <w:r w:rsidR="00252086" w:rsidRPr="00E40EFF">
        <w:t xml:space="preserve"> </w:t>
      </w:r>
      <w:r w:rsidRPr="00A60B25">
        <w:t>(prévision)</w:t>
      </w:r>
      <w:r w:rsidR="00B32D2D">
        <w:t xml:space="preserve"> et </w:t>
      </w:r>
      <w:r w:rsidR="00252086">
        <w:t xml:space="preserve">2023 </w:t>
      </w:r>
      <w:r w:rsidR="00B32D2D">
        <w:t xml:space="preserve">à </w:t>
      </w:r>
      <w:r w:rsidR="00252086">
        <w:t>202</w:t>
      </w:r>
      <w:r w:rsidR="0045218B">
        <w:t>7</w:t>
      </w:r>
      <w:r w:rsidR="00252086">
        <w:t xml:space="preserve"> </w:t>
      </w:r>
      <w:r w:rsidR="00B32D2D">
        <w:t>(évolution de la trajectoire 20</w:t>
      </w:r>
      <w:r w:rsidR="003D425A">
        <w:t>2</w:t>
      </w:r>
      <w:r w:rsidR="008C04C4">
        <w:t>2</w:t>
      </w:r>
      <w:r w:rsidR="00B32D2D">
        <w:t>-202</w:t>
      </w:r>
      <w:r w:rsidR="008C04C4">
        <w:t>3</w:t>
      </w:r>
      <w:r w:rsidR="00B32D2D">
        <w:t xml:space="preserve"> sous-jacente </w:t>
      </w:r>
      <w:r w:rsidR="005F7357">
        <w:t>a</w:t>
      </w:r>
      <w:r w:rsidR="000C2A92">
        <w:t>u</w:t>
      </w:r>
      <w:r w:rsidR="005F7357">
        <w:t xml:space="preserve"> PLF </w:t>
      </w:r>
      <w:r w:rsidR="0045218B">
        <w:t>2022</w:t>
      </w:r>
      <w:r w:rsidR="00695FB0">
        <w:t>)</w:t>
      </w:r>
      <w:r w:rsidR="005F7357">
        <w:t xml:space="preserve"> </w:t>
      </w:r>
      <w:r w:rsidR="005F7357" w:rsidRPr="004959FB">
        <w:t xml:space="preserve">étendue à </w:t>
      </w:r>
      <w:r w:rsidR="00252086" w:rsidRPr="004959FB">
        <w:t>202</w:t>
      </w:r>
      <w:r w:rsidR="0045218B">
        <w:t>7</w:t>
      </w:r>
      <w:r w:rsidR="002347DF">
        <w:t>, le cas échéant</w:t>
      </w:r>
      <w:r w:rsidRPr="00A60B25">
        <w:t xml:space="preserve">. Les ministères porteront une attention particulière aux évolutions de périmètre (transferts </w:t>
      </w:r>
      <w:r w:rsidR="00D03283" w:rsidRPr="00A60B25">
        <w:t>entre l’</w:t>
      </w:r>
      <w:r w:rsidR="00B126D1">
        <w:t>É</w:t>
      </w:r>
      <w:r w:rsidR="00D03283" w:rsidRPr="00A60B25">
        <w:t xml:space="preserve">tat et les opérateurs, </w:t>
      </w:r>
      <w:r w:rsidRPr="00A60B25">
        <w:t>déc</w:t>
      </w:r>
      <w:r w:rsidR="005A0496" w:rsidRPr="00A60B25">
        <w:t>entralisation le cas échéant)</w:t>
      </w:r>
      <w:r w:rsidR="008D372A">
        <w:t>,</w:t>
      </w:r>
      <w:r w:rsidR="00B126D1">
        <w:t xml:space="preserve"> qui pourront faire l’objet d’une fiche </w:t>
      </w:r>
      <w:r w:rsidR="00B126D1" w:rsidRPr="00B126D1">
        <w:rPr>
          <w:i/>
        </w:rPr>
        <w:t>ad hoc</w:t>
      </w:r>
      <w:r w:rsidR="005A0496" w:rsidRPr="00A60B25">
        <w:t>.</w:t>
      </w:r>
      <w:r w:rsidR="00A15488">
        <w:t xml:space="preserve"> </w:t>
      </w:r>
      <w:r w:rsidR="00A15488" w:rsidRPr="00A60B25">
        <w:t xml:space="preserve">La prévision d’exécution pour </w:t>
      </w:r>
      <w:r w:rsidR="00252086">
        <w:t>2022</w:t>
      </w:r>
      <w:r w:rsidR="00252086" w:rsidRPr="00A60B25">
        <w:t xml:space="preserve"> </w:t>
      </w:r>
      <w:r w:rsidR="00A15488" w:rsidRPr="00A60B25">
        <w:t xml:space="preserve">devra également prendre en compte l’impossibilité de recycler des crédits de cotisations (T2 CAS) disponibles pour combler d’éventuelles insuffisances de crédits de rémunérations (T2 HCAS). </w:t>
      </w:r>
      <w:r w:rsidR="002C1E6C" w:rsidRPr="00577563">
        <w:rPr>
          <w:b/>
          <w:i/>
          <w:sz w:val="22"/>
          <w:szCs w:val="22"/>
        </w:rPr>
        <w:t xml:space="preserve">(Tableau </w:t>
      </w:r>
      <w:r w:rsidR="000A6A44" w:rsidRPr="00577563">
        <w:rPr>
          <w:b/>
          <w:i/>
          <w:sz w:val="22"/>
          <w:szCs w:val="22"/>
        </w:rPr>
        <w:t>4</w:t>
      </w:r>
      <w:r w:rsidR="00A15488" w:rsidRPr="00577563">
        <w:rPr>
          <w:b/>
          <w:i/>
          <w:sz w:val="22"/>
          <w:szCs w:val="22"/>
        </w:rPr>
        <w:t>)</w:t>
      </w:r>
    </w:p>
    <w:p w14:paraId="59B873D3" w14:textId="77777777" w:rsidR="002F04AC" w:rsidRPr="00A60B25" w:rsidRDefault="002F04AC" w:rsidP="0048544E"/>
    <w:p w14:paraId="14404B2F" w14:textId="01E2E902" w:rsidR="00022C76" w:rsidRPr="00A60B25" w:rsidRDefault="0048544E" w:rsidP="007D75DB">
      <w:pPr>
        <w:jc w:val="both"/>
      </w:pPr>
      <w:r w:rsidRPr="00A60B25">
        <w:t>L’estimation du GVT</w:t>
      </w:r>
      <w:r w:rsidR="00022C76" w:rsidRPr="00A60B25">
        <w:t xml:space="preserve"> doit faire l’objet d’échanges avec les </w:t>
      </w:r>
      <w:r w:rsidRPr="00A60B25">
        <w:t xml:space="preserve">bureaux sectoriels de la direction du </w:t>
      </w:r>
      <w:r w:rsidR="00542486">
        <w:t>b</w:t>
      </w:r>
      <w:r w:rsidRPr="00A60B25">
        <w:t>udget.</w:t>
      </w:r>
    </w:p>
    <w:p w14:paraId="01910246" w14:textId="77777777" w:rsidR="00022C76" w:rsidRPr="00A60B25" w:rsidRDefault="00022C76" w:rsidP="005A679A">
      <w:pPr>
        <w:jc w:val="both"/>
      </w:pPr>
    </w:p>
    <w:p w14:paraId="3310F3C0" w14:textId="71A2047A" w:rsidR="00641CA7" w:rsidRPr="00F63EF2" w:rsidRDefault="00844218" w:rsidP="00F63EF2">
      <w:pPr>
        <w:numPr>
          <w:ilvl w:val="1"/>
          <w:numId w:val="3"/>
        </w:numPr>
        <w:tabs>
          <w:tab w:val="clear" w:pos="1440"/>
        </w:tabs>
        <w:ind w:left="0" w:firstLine="360"/>
        <w:jc w:val="both"/>
      </w:pPr>
      <w:r w:rsidRPr="00F63EF2">
        <w:rPr>
          <w:u w:val="single"/>
        </w:rPr>
        <w:t>Les mesures catégorielles</w:t>
      </w:r>
      <w:r w:rsidRPr="00F63EF2">
        <w:t> : un échange devra avoir lieu sur l</w:t>
      </w:r>
      <w:r w:rsidR="005A0496" w:rsidRPr="00F63EF2">
        <w:t>a nature et le</w:t>
      </w:r>
      <w:r w:rsidRPr="00F63EF2">
        <w:t xml:space="preserve"> coût des mesures catégorielles réellement exécutées en </w:t>
      </w:r>
      <w:r w:rsidR="00252086" w:rsidRPr="00F63EF2">
        <w:t>20</w:t>
      </w:r>
      <w:r w:rsidR="00252086">
        <w:t>21</w:t>
      </w:r>
      <w:r w:rsidRPr="00F63EF2">
        <w:t xml:space="preserve">, </w:t>
      </w:r>
      <w:r w:rsidR="00E40EFF" w:rsidRPr="00F63EF2">
        <w:t xml:space="preserve">les protocoles pris en compte dans </w:t>
      </w:r>
      <w:r w:rsidR="000C2A92">
        <w:t xml:space="preserve">les sous-jacents du PLF </w:t>
      </w:r>
      <w:r w:rsidR="00252086">
        <w:t xml:space="preserve">2022 </w:t>
      </w:r>
      <w:r w:rsidR="000C2A92">
        <w:t>et le cas échéant arbitrés dans les l</w:t>
      </w:r>
      <w:r w:rsidR="005F7357">
        <w:t>ettre</w:t>
      </w:r>
      <w:r w:rsidR="000C2A92">
        <w:t>s</w:t>
      </w:r>
      <w:r w:rsidR="005F7357">
        <w:t xml:space="preserve"> plafond </w:t>
      </w:r>
      <w:r w:rsidR="00252086">
        <w:t>2022</w:t>
      </w:r>
      <w:r w:rsidR="00E40EFF" w:rsidRPr="00F63EF2">
        <w:t xml:space="preserve">. </w:t>
      </w:r>
      <w:r w:rsidR="008F6786" w:rsidRPr="00F63EF2">
        <w:t>Vous veillerez à la distinction entre la dépense liée aux mesures catégorielles mises en œuvre en N-1 (effet extension année pleine) et celle liée aux mesures catégorielles prévues en année N</w:t>
      </w:r>
      <w:r w:rsidR="004665BA" w:rsidRPr="00F63EF2">
        <w:t xml:space="preserve"> (effet année courante)</w:t>
      </w:r>
      <w:r w:rsidR="008F6786" w:rsidRPr="00F63EF2">
        <w:t xml:space="preserve">. </w:t>
      </w:r>
      <w:r w:rsidR="00F63EF2" w:rsidRPr="00F63EF2">
        <w:t>Les éventuelles transformations d'emplois sont à renseigner dans la rubrique "Mesures statutaires"</w:t>
      </w:r>
      <w:r w:rsidR="00EE4DEC">
        <w:t>.</w:t>
      </w:r>
      <w:r w:rsidR="00F63EF2" w:rsidRPr="00F63EF2">
        <w:t xml:space="preserve"> </w:t>
      </w:r>
      <w:r w:rsidR="002C1E6C" w:rsidRPr="00577563">
        <w:rPr>
          <w:b/>
          <w:i/>
          <w:sz w:val="22"/>
          <w:szCs w:val="22"/>
        </w:rPr>
        <w:t xml:space="preserve">(Tableau </w:t>
      </w:r>
      <w:r w:rsidR="000A6A44" w:rsidRPr="00577563">
        <w:rPr>
          <w:b/>
          <w:i/>
          <w:sz w:val="22"/>
          <w:szCs w:val="22"/>
        </w:rPr>
        <w:t>5</w:t>
      </w:r>
      <w:r w:rsidR="00E40EFF" w:rsidRPr="00577563">
        <w:rPr>
          <w:b/>
          <w:i/>
          <w:sz w:val="22"/>
          <w:szCs w:val="22"/>
        </w:rPr>
        <w:t>)</w:t>
      </w:r>
    </w:p>
    <w:p w14:paraId="38E8178A" w14:textId="77777777" w:rsidR="002C1E6C" w:rsidRDefault="002C1E6C" w:rsidP="002C1E6C">
      <w:pPr>
        <w:ind w:left="360"/>
        <w:jc w:val="both"/>
      </w:pPr>
    </w:p>
    <w:p w14:paraId="3138CB0D" w14:textId="77777777" w:rsidR="007D03B9" w:rsidRPr="00EF70DC" w:rsidRDefault="007D03B9" w:rsidP="00496A4E">
      <w:pPr>
        <w:jc w:val="both"/>
      </w:pPr>
    </w:p>
    <w:p w14:paraId="06E02E3C" w14:textId="1A5C05DE" w:rsidR="00844218" w:rsidRPr="00577563" w:rsidRDefault="00844218" w:rsidP="005A679A">
      <w:pPr>
        <w:numPr>
          <w:ilvl w:val="1"/>
          <w:numId w:val="3"/>
        </w:numPr>
        <w:tabs>
          <w:tab w:val="clear" w:pos="1440"/>
        </w:tabs>
        <w:ind w:left="0" w:firstLine="360"/>
        <w:jc w:val="both"/>
        <w:rPr>
          <w:sz w:val="22"/>
          <w:szCs w:val="22"/>
        </w:rPr>
      </w:pPr>
      <w:r w:rsidRPr="00697BC8">
        <w:rPr>
          <w:u w:val="single"/>
        </w:rPr>
        <w:t>La détermination des coûts moyens d’entrée et de sortie par catégorie d’emplois</w:t>
      </w:r>
      <w:r w:rsidR="0022138A" w:rsidRPr="00A60B25">
        <w:t>,</w:t>
      </w:r>
      <w:r w:rsidR="005A0496" w:rsidRPr="00A60B25">
        <w:t xml:space="preserve"> qui permet de calculer l’incidence du schéma d’emplois en crédits ainsi que le</w:t>
      </w:r>
      <w:r w:rsidRPr="00A60B25">
        <w:t xml:space="preserve"> GVT négatif.</w:t>
      </w:r>
      <w:r w:rsidR="00A15488">
        <w:t xml:space="preserve"> </w:t>
      </w:r>
      <w:r w:rsidR="000A6A44" w:rsidRPr="00577563">
        <w:rPr>
          <w:b/>
          <w:i/>
          <w:sz w:val="22"/>
          <w:szCs w:val="22"/>
        </w:rPr>
        <w:t xml:space="preserve">(Tableau </w:t>
      </w:r>
      <w:r w:rsidR="00252086">
        <w:rPr>
          <w:b/>
          <w:i/>
          <w:sz w:val="22"/>
          <w:szCs w:val="22"/>
        </w:rPr>
        <w:t>6</w:t>
      </w:r>
      <w:r w:rsidR="00A15488" w:rsidRPr="00577563">
        <w:rPr>
          <w:b/>
          <w:i/>
          <w:sz w:val="22"/>
          <w:szCs w:val="22"/>
        </w:rPr>
        <w:t>)</w:t>
      </w:r>
    </w:p>
    <w:p w14:paraId="55CFEC2A" w14:textId="77777777" w:rsidR="00C36B20" w:rsidRDefault="00C36B20" w:rsidP="00496A4E">
      <w:pPr>
        <w:jc w:val="both"/>
      </w:pPr>
    </w:p>
    <w:p w14:paraId="3EA60641" w14:textId="77777777" w:rsidR="00C36B20" w:rsidRDefault="00C36B20" w:rsidP="00496A4E">
      <w:pPr>
        <w:jc w:val="both"/>
      </w:pPr>
    </w:p>
    <w:p w14:paraId="024ABC2A" w14:textId="77777777" w:rsidR="00C36B20" w:rsidRPr="00A60B25" w:rsidRDefault="00C36B20" w:rsidP="00496A4E">
      <w:pPr>
        <w:jc w:val="both"/>
      </w:pPr>
    </w:p>
    <w:p w14:paraId="433673D8" w14:textId="098E20BD" w:rsidR="0089735B" w:rsidRPr="00A60B25" w:rsidRDefault="0089735B" w:rsidP="00496A4E">
      <w:pPr>
        <w:numPr>
          <w:ilvl w:val="0"/>
          <w:numId w:val="2"/>
        </w:numPr>
        <w:tabs>
          <w:tab w:val="clear" w:pos="1080"/>
          <w:tab w:val="num" w:pos="720"/>
        </w:tabs>
        <w:spacing w:before="240" w:after="240"/>
        <w:ind w:left="714" w:hanging="357"/>
        <w:jc w:val="both"/>
      </w:pPr>
      <w:r w:rsidRPr="00B32D2D">
        <w:rPr>
          <w:b/>
          <w:bCs/>
          <w:u w:val="single"/>
        </w:rPr>
        <w:t xml:space="preserve">Analyse de l’exécution </w:t>
      </w:r>
      <w:r w:rsidR="00252086" w:rsidRPr="00B32D2D">
        <w:rPr>
          <w:b/>
          <w:bCs/>
          <w:u w:val="single"/>
        </w:rPr>
        <w:t>20</w:t>
      </w:r>
      <w:r w:rsidR="00252086">
        <w:rPr>
          <w:b/>
          <w:bCs/>
          <w:u w:val="single"/>
        </w:rPr>
        <w:t>21</w:t>
      </w:r>
      <w:r w:rsidR="00252086" w:rsidRPr="00B32D2D">
        <w:rPr>
          <w:b/>
          <w:bCs/>
          <w:u w:val="single"/>
        </w:rPr>
        <w:t xml:space="preserve"> </w:t>
      </w:r>
      <w:r w:rsidRPr="00B32D2D">
        <w:rPr>
          <w:b/>
          <w:bCs/>
          <w:u w:val="single"/>
        </w:rPr>
        <w:t>des emplois</w:t>
      </w:r>
      <w:r w:rsidR="00A732AF" w:rsidRPr="00B32D2D">
        <w:rPr>
          <w:b/>
          <w:bCs/>
          <w:u w:val="single"/>
        </w:rPr>
        <w:t xml:space="preserve">, prévision d’exécution </w:t>
      </w:r>
      <w:r w:rsidR="00252086" w:rsidRPr="00B32D2D">
        <w:rPr>
          <w:b/>
          <w:bCs/>
          <w:u w:val="single"/>
        </w:rPr>
        <w:t>20</w:t>
      </w:r>
      <w:r w:rsidR="00252086">
        <w:rPr>
          <w:b/>
          <w:bCs/>
          <w:u w:val="single"/>
        </w:rPr>
        <w:t xml:space="preserve">22 </w:t>
      </w:r>
      <w:r w:rsidR="00B32D2D">
        <w:rPr>
          <w:b/>
          <w:bCs/>
          <w:u w:val="single"/>
        </w:rPr>
        <w:t xml:space="preserve">et évolution de la trajectoire sous-jacente </w:t>
      </w:r>
      <w:r w:rsidR="00CE493F">
        <w:rPr>
          <w:b/>
          <w:bCs/>
          <w:u w:val="single"/>
        </w:rPr>
        <w:t xml:space="preserve">au PLF </w:t>
      </w:r>
      <w:r w:rsidR="0045218B">
        <w:rPr>
          <w:b/>
          <w:bCs/>
          <w:u w:val="single"/>
        </w:rPr>
        <w:t xml:space="preserve">2022 </w:t>
      </w:r>
      <w:r w:rsidR="00CE493F">
        <w:rPr>
          <w:b/>
          <w:bCs/>
          <w:u w:val="single"/>
        </w:rPr>
        <w:t xml:space="preserve">et </w:t>
      </w:r>
      <w:r w:rsidR="00AD4720">
        <w:rPr>
          <w:b/>
          <w:bCs/>
          <w:u w:val="single"/>
        </w:rPr>
        <w:t xml:space="preserve">le cas échéant </w:t>
      </w:r>
      <w:r w:rsidR="00CE493F">
        <w:rPr>
          <w:b/>
          <w:bCs/>
          <w:u w:val="single"/>
        </w:rPr>
        <w:t xml:space="preserve">arbitrée en lettre plafond </w:t>
      </w:r>
      <w:r w:rsidR="0045218B">
        <w:rPr>
          <w:b/>
          <w:bCs/>
          <w:u w:val="single"/>
        </w:rPr>
        <w:t>2022</w:t>
      </w:r>
    </w:p>
    <w:p w14:paraId="1B06ECF4" w14:textId="5E4DDBCC" w:rsidR="0089735B" w:rsidRPr="00A60B25" w:rsidRDefault="0089735B" w:rsidP="00CD3DAE">
      <w:pPr>
        <w:jc w:val="both"/>
      </w:pPr>
      <w:r w:rsidRPr="00A60B25">
        <w:t xml:space="preserve">En cohérence avec les informations sollicitées dans les RAP </w:t>
      </w:r>
      <w:r w:rsidR="00252086">
        <w:t>2021</w:t>
      </w:r>
      <w:r w:rsidRPr="00A60B25">
        <w:t xml:space="preserve">, les </w:t>
      </w:r>
      <w:r w:rsidR="0028085C">
        <w:t xml:space="preserve">éléments </w:t>
      </w:r>
      <w:r w:rsidRPr="00A60B25">
        <w:t>demandés portent sur les points suivants :</w:t>
      </w:r>
    </w:p>
    <w:p w14:paraId="73BD0B0E" w14:textId="77777777" w:rsidR="00482C3C" w:rsidRPr="00A60B25" w:rsidRDefault="00482C3C" w:rsidP="005A679A">
      <w:pPr>
        <w:jc w:val="both"/>
      </w:pPr>
    </w:p>
    <w:p w14:paraId="365DFDB1" w14:textId="471C99C1" w:rsidR="00844218" w:rsidRPr="00DD6927" w:rsidRDefault="00221E5D" w:rsidP="00B41598">
      <w:pPr>
        <w:numPr>
          <w:ilvl w:val="1"/>
          <w:numId w:val="3"/>
        </w:numPr>
        <w:tabs>
          <w:tab w:val="clear" w:pos="1440"/>
        </w:tabs>
        <w:ind w:left="0" w:firstLine="360"/>
        <w:jc w:val="both"/>
      </w:pPr>
      <w:r w:rsidRPr="00A60B25">
        <w:rPr>
          <w:u w:val="single"/>
        </w:rPr>
        <w:lastRenderedPageBreak/>
        <w:t>L</w:t>
      </w:r>
      <w:r w:rsidR="00AD4720">
        <w:rPr>
          <w:u w:val="single"/>
        </w:rPr>
        <w:t xml:space="preserve">a </w:t>
      </w:r>
      <w:r w:rsidR="00844218" w:rsidRPr="00A60B25">
        <w:rPr>
          <w:u w:val="single"/>
        </w:rPr>
        <w:t xml:space="preserve">consommation </w:t>
      </w:r>
      <w:r w:rsidR="00CE493F">
        <w:rPr>
          <w:u w:val="single"/>
        </w:rPr>
        <w:t>d’</w:t>
      </w:r>
      <w:r w:rsidR="00844218" w:rsidRPr="00A60B25">
        <w:rPr>
          <w:u w:val="single"/>
        </w:rPr>
        <w:t>emplois (</w:t>
      </w:r>
      <w:r w:rsidR="00CE493F">
        <w:rPr>
          <w:u w:val="single"/>
        </w:rPr>
        <w:t xml:space="preserve">en </w:t>
      </w:r>
      <w:r w:rsidR="00844218" w:rsidRPr="00A60B25">
        <w:rPr>
          <w:u w:val="single"/>
        </w:rPr>
        <w:t xml:space="preserve">ETPT) en </w:t>
      </w:r>
      <w:r w:rsidR="00252086">
        <w:rPr>
          <w:u w:val="single"/>
        </w:rPr>
        <w:t xml:space="preserve">2021 </w:t>
      </w:r>
      <w:r w:rsidR="00AD4720">
        <w:rPr>
          <w:u w:val="single"/>
        </w:rPr>
        <w:t xml:space="preserve">doit être déterminée </w:t>
      </w:r>
      <w:r w:rsidR="00844218" w:rsidRPr="00A60B25">
        <w:t>à partir de l’</w:t>
      </w:r>
      <w:r w:rsidR="005A0496" w:rsidRPr="00A60B25">
        <w:t>o</w:t>
      </w:r>
      <w:r w:rsidR="00844218" w:rsidRPr="00A60B25">
        <w:t>util</w:t>
      </w:r>
      <w:r w:rsidR="00941807">
        <w:t xml:space="preserve"> </w:t>
      </w:r>
      <w:r w:rsidR="001E25FA">
        <w:t>CHORUS</w:t>
      </w:r>
      <w:r w:rsidR="00AD4720">
        <w:t xml:space="preserve"> (requête INF DPP 17)</w:t>
      </w:r>
      <w:r w:rsidR="009A6333">
        <w:t>.</w:t>
      </w:r>
      <w:r w:rsidR="00844218" w:rsidRPr="00A60B25">
        <w:t xml:space="preserve"> </w:t>
      </w:r>
      <w:r w:rsidR="00AD4720">
        <w:t>L</w:t>
      </w:r>
      <w:r w:rsidR="003611F6" w:rsidRPr="00A60B25">
        <w:t>es données restituées</w:t>
      </w:r>
      <w:r w:rsidR="00D624B7" w:rsidRPr="00A60B25">
        <w:t xml:space="preserve"> doivent faire l’objet de retraitements de différente</w:t>
      </w:r>
      <w:r w:rsidR="00B41598">
        <w:t>s</w:t>
      </w:r>
      <w:r w:rsidR="00D624B7" w:rsidRPr="00A60B25">
        <w:t xml:space="preserve"> nature</w:t>
      </w:r>
      <w:r w:rsidR="00B41598">
        <w:t>s</w:t>
      </w:r>
      <w:r w:rsidR="00D624B7" w:rsidRPr="00A60B25">
        <w:t xml:space="preserve">, notamment </w:t>
      </w:r>
      <w:r w:rsidR="003611F6" w:rsidRPr="00A60B25">
        <w:t xml:space="preserve">pour les </w:t>
      </w:r>
      <w:r w:rsidR="000D426E">
        <w:t>ETPT hors PSOP calculés par CHORUS</w:t>
      </w:r>
      <w:r w:rsidR="003611F6" w:rsidRPr="00A60B25">
        <w:t xml:space="preserve">, </w:t>
      </w:r>
      <w:r w:rsidR="00D624B7" w:rsidRPr="00A60B25">
        <w:t xml:space="preserve">en </w:t>
      </w:r>
      <w:r w:rsidR="003611F6" w:rsidRPr="00A60B25">
        <w:t>cohéren</w:t>
      </w:r>
      <w:r w:rsidR="00D624B7" w:rsidRPr="00A60B25">
        <w:t>ce</w:t>
      </w:r>
      <w:r w:rsidR="003611F6" w:rsidRPr="00A60B25">
        <w:t xml:space="preserve"> avec la règle de décompte des emplois sous-jacente aux plafonds d'emplois autorisés en LFI </w:t>
      </w:r>
      <w:r w:rsidR="00252086">
        <w:t xml:space="preserve">2021 </w:t>
      </w:r>
      <w:r w:rsidR="000A6A44">
        <w:t>(cf. encadré « </w:t>
      </w:r>
      <w:r w:rsidR="000D49BA">
        <w:t xml:space="preserve">Retraitements CHORUS </w:t>
      </w:r>
      <w:r w:rsidR="00252086">
        <w:t>2021 </w:t>
      </w:r>
      <w:r w:rsidR="000D49BA">
        <w:t xml:space="preserve">» du </w:t>
      </w:r>
      <w:r w:rsidR="00577563">
        <w:t>t</w:t>
      </w:r>
      <w:r w:rsidR="000D49BA" w:rsidRPr="00577563">
        <w:t>ableau</w:t>
      </w:r>
      <w:r w:rsidR="00252086">
        <w:t xml:space="preserve"> 7</w:t>
      </w:r>
      <w:r w:rsidR="000D49BA" w:rsidRPr="00577563">
        <w:t>)</w:t>
      </w:r>
      <w:r w:rsidR="003611F6" w:rsidRPr="00577563">
        <w:t>.</w:t>
      </w:r>
      <w:r w:rsidR="003611F6" w:rsidRPr="00A60B25">
        <w:t xml:space="preserve"> </w:t>
      </w:r>
    </w:p>
    <w:p w14:paraId="2B85CB51" w14:textId="77777777" w:rsidR="00DD6927" w:rsidRDefault="00DD6927" w:rsidP="00DD6927">
      <w:pPr>
        <w:ind w:left="720"/>
        <w:jc w:val="both"/>
      </w:pPr>
    </w:p>
    <w:p w14:paraId="155DB483" w14:textId="2650CFF5" w:rsidR="00EB5104" w:rsidRDefault="00EB5104" w:rsidP="00EB5104">
      <w:pPr>
        <w:ind w:firstLine="720"/>
        <w:jc w:val="both"/>
      </w:pPr>
      <w:r w:rsidRPr="005D3605">
        <w:rPr>
          <w:u w:val="single"/>
        </w:rPr>
        <w:t xml:space="preserve">Les ministères porteront une attention particulière </w:t>
      </w:r>
      <w:r w:rsidR="00845862">
        <w:rPr>
          <w:u w:val="single"/>
        </w:rPr>
        <w:t>à</w:t>
      </w:r>
      <w:r w:rsidR="00845862" w:rsidRPr="005D3605">
        <w:rPr>
          <w:u w:val="single"/>
        </w:rPr>
        <w:t xml:space="preserve"> </w:t>
      </w:r>
      <w:r w:rsidR="00DD6927" w:rsidRPr="005D3605">
        <w:rPr>
          <w:u w:val="single"/>
        </w:rPr>
        <w:t xml:space="preserve">la qualité de la détermination de la consommation </w:t>
      </w:r>
      <w:r w:rsidR="00252086" w:rsidRPr="005D3605">
        <w:rPr>
          <w:u w:val="single"/>
        </w:rPr>
        <w:t>20</w:t>
      </w:r>
      <w:r w:rsidR="00252086">
        <w:rPr>
          <w:u w:val="single"/>
        </w:rPr>
        <w:t>21</w:t>
      </w:r>
      <w:r w:rsidR="00252086" w:rsidRPr="005D3605">
        <w:rPr>
          <w:u w:val="single"/>
        </w:rPr>
        <w:t xml:space="preserve"> </w:t>
      </w:r>
      <w:r w:rsidR="00DD6927" w:rsidRPr="005D3605">
        <w:rPr>
          <w:u w:val="single"/>
        </w:rPr>
        <w:t xml:space="preserve">du plafond d’emplois (en ETPT) </w:t>
      </w:r>
      <w:r w:rsidR="00DD6927">
        <w:t xml:space="preserve">au regard </w:t>
      </w:r>
      <w:r w:rsidR="00265942">
        <w:t xml:space="preserve">notamment </w:t>
      </w:r>
      <w:r>
        <w:t xml:space="preserve">des enjeux résultant de la mise en œuvre des dispositions de l’article </w:t>
      </w:r>
      <w:r w:rsidR="00B32D2D">
        <w:t xml:space="preserve">11 de </w:t>
      </w:r>
      <w:r w:rsidR="00B32D2D" w:rsidRPr="00B32D2D">
        <w:t xml:space="preserve">la </w:t>
      </w:r>
      <w:r w:rsidR="0029211C">
        <w:t>l</w:t>
      </w:r>
      <w:r w:rsidR="00B32D2D" w:rsidRPr="00B32D2D">
        <w:t>oi</w:t>
      </w:r>
      <w:r w:rsidR="00B32D2D" w:rsidRPr="004D38BE">
        <w:t xml:space="preserve"> n° 2018-32 du 22 janvier 2018 de programmation des finances publiques pour les années 2018 à 2022</w:t>
      </w:r>
      <w:r>
        <w:t xml:space="preserve"> : </w:t>
      </w:r>
    </w:p>
    <w:p w14:paraId="18F5951A" w14:textId="5D8257B0" w:rsidR="00EB5104" w:rsidRPr="0023628B" w:rsidRDefault="00EB5104" w:rsidP="00EB5104">
      <w:pPr>
        <w:pStyle w:val="NormalWeb"/>
        <w:jc w:val="center"/>
        <w:rPr>
          <w:i/>
          <w:sz w:val="22"/>
          <w:szCs w:val="22"/>
        </w:rPr>
      </w:pPr>
      <w:bookmarkStart w:id="1" w:name="P377_7882"/>
      <w:bookmarkEnd w:id="1"/>
      <w:r w:rsidRPr="0023628B">
        <w:rPr>
          <w:b/>
          <w:bCs/>
          <w:i/>
          <w:sz w:val="22"/>
          <w:szCs w:val="22"/>
        </w:rPr>
        <w:t xml:space="preserve">Article </w:t>
      </w:r>
      <w:r w:rsidR="00B32D2D">
        <w:rPr>
          <w:b/>
          <w:bCs/>
          <w:i/>
          <w:sz w:val="22"/>
          <w:szCs w:val="22"/>
        </w:rPr>
        <w:t>11</w:t>
      </w:r>
    </w:p>
    <w:p w14:paraId="2065BB1F" w14:textId="77777777" w:rsidR="00EB5104" w:rsidRPr="0023628B" w:rsidRDefault="00EB5104" w:rsidP="00496A4E">
      <w:pPr>
        <w:pStyle w:val="NormalWeb"/>
        <w:ind w:left="708"/>
        <w:jc w:val="both"/>
        <w:rPr>
          <w:i/>
          <w:sz w:val="22"/>
          <w:szCs w:val="22"/>
        </w:rPr>
      </w:pPr>
      <w:r w:rsidRPr="0023628B">
        <w:rPr>
          <w:i/>
          <w:sz w:val="22"/>
          <w:szCs w:val="22"/>
        </w:rPr>
        <w:t>À compter de l’exercice 2019, le plafond des autorisations d’emplois prévu en loi de finances initiale, spécialisé par ministère, conformément à l’article 7 de la loi organique n° 2001-692 du 1</w:t>
      </w:r>
      <w:r w:rsidRPr="0023628B">
        <w:rPr>
          <w:i/>
          <w:sz w:val="22"/>
          <w:szCs w:val="22"/>
          <w:vertAlign w:val="superscript"/>
        </w:rPr>
        <w:t>er</w:t>
      </w:r>
      <w:r w:rsidRPr="0023628B">
        <w:rPr>
          <w:i/>
          <w:sz w:val="22"/>
          <w:szCs w:val="22"/>
        </w:rPr>
        <w:t> août 2001 relative aux lois de finances, ne peut excéder de plus de 1 % la consommation d’emplois constatée dans la dernière loi de règlement, corrigée de l’incidence des schémas d’emplois, des mesures de transfert et des mesures de périmètre intervenus ou prévus.</w:t>
      </w:r>
    </w:p>
    <w:p w14:paraId="4EDA2E77" w14:textId="0546B5D6" w:rsidR="0089735B" w:rsidRPr="00577563" w:rsidRDefault="003D425A" w:rsidP="0089735B">
      <w:pPr>
        <w:jc w:val="both"/>
        <w:rPr>
          <w:b/>
          <w:i/>
          <w:sz w:val="22"/>
          <w:szCs w:val="22"/>
        </w:rPr>
      </w:pPr>
      <w:r w:rsidRPr="00A60B25">
        <w:t xml:space="preserve">Le tableau </w:t>
      </w:r>
      <w:r>
        <w:t xml:space="preserve">demandé devra </w:t>
      </w:r>
      <w:r w:rsidRPr="00A60B25">
        <w:t>permet</w:t>
      </w:r>
      <w:r>
        <w:t>tre</w:t>
      </w:r>
      <w:r w:rsidRPr="00A60B25">
        <w:t>, une fois les retraitements opérés et les éventuels transferts de gestion pris en compte, d’apprécier le respect par le ministère du plafond d’emplois. Les écarts au plafond</w:t>
      </w:r>
      <w:r w:rsidR="006B5AA7">
        <w:t xml:space="preserve"> de la LFI</w:t>
      </w:r>
      <w:r w:rsidR="00960A3C">
        <w:t xml:space="preserve"> </w:t>
      </w:r>
      <w:r>
        <w:t>ajusté</w:t>
      </w:r>
      <w:r w:rsidR="00960A3C">
        <w:t>e</w:t>
      </w:r>
      <w:r>
        <w:t xml:space="preserve"> en LFR</w:t>
      </w:r>
      <w:r w:rsidRPr="00A60B25">
        <w:t xml:space="preserve"> seront détaillés et expliqués</w:t>
      </w:r>
      <w:r>
        <w:t xml:space="preserve">, </w:t>
      </w:r>
      <w:r w:rsidRPr="00A60B25">
        <w:t>notamment le niveau des vacances structurelles d’emplois</w:t>
      </w:r>
      <w:r w:rsidRPr="00577563">
        <w:rPr>
          <w:sz w:val="22"/>
          <w:szCs w:val="22"/>
        </w:rPr>
        <w:t xml:space="preserve">. </w:t>
      </w:r>
      <w:r w:rsidRPr="00577563">
        <w:rPr>
          <w:b/>
          <w:i/>
          <w:sz w:val="22"/>
          <w:szCs w:val="22"/>
        </w:rPr>
        <w:t xml:space="preserve">(Tableau </w:t>
      </w:r>
      <w:r w:rsidR="00252086">
        <w:rPr>
          <w:b/>
          <w:i/>
          <w:sz w:val="22"/>
          <w:szCs w:val="22"/>
        </w:rPr>
        <w:t>7</w:t>
      </w:r>
      <w:r w:rsidRPr="00577563">
        <w:rPr>
          <w:b/>
          <w:i/>
          <w:sz w:val="22"/>
          <w:szCs w:val="22"/>
        </w:rPr>
        <w:t>)</w:t>
      </w:r>
    </w:p>
    <w:p w14:paraId="6FFB9BEA" w14:textId="77777777" w:rsidR="003D425A" w:rsidRDefault="003D425A" w:rsidP="0089735B">
      <w:pPr>
        <w:jc w:val="both"/>
        <w:rPr>
          <w:u w:val="single"/>
        </w:rPr>
      </w:pPr>
    </w:p>
    <w:p w14:paraId="0A0B1210" w14:textId="12EFDE90" w:rsidR="008333A7" w:rsidRDefault="00844218" w:rsidP="009E60EE">
      <w:pPr>
        <w:numPr>
          <w:ilvl w:val="1"/>
          <w:numId w:val="3"/>
        </w:numPr>
        <w:tabs>
          <w:tab w:val="clear" w:pos="1440"/>
          <w:tab w:val="num" w:pos="709"/>
        </w:tabs>
        <w:ind w:left="0" w:firstLine="360"/>
        <w:jc w:val="both"/>
      </w:pPr>
      <w:r w:rsidRPr="000D49BA">
        <w:rPr>
          <w:u w:val="single"/>
        </w:rPr>
        <w:t xml:space="preserve">Les flux d’effectifs </w:t>
      </w:r>
      <w:r w:rsidR="00732DEF" w:rsidRPr="000D49BA">
        <w:rPr>
          <w:u w:val="single"/>
        </w:rPr>
        <w:t xml:space="preserve">entrants et sortants </w:t>
      </w:r>
      <w:r w:rsidRPr="000D49BA">
        <w:rPr>
          <w:u w:val="single"/>
        </w:rPr>
        <w:t>par catégorie d’emplois.</w:t>
      </w:r>
      <w:r w:rsidRPr="00A60B25">
        <w:t xml:space="preserve"> Une attention particulière sera portée à l’estimation des flux de départ</w:t>
      </w:r>
      <w:r w:rsidR="008B3B22" w:rsidRPr="00A60B25">
        <w:t>s</w:t>
      </w:r>
      <w:r w:rsidRPr="00A60B25">
        <w:t xml:space="preserve">, </w:t>
      </w:r>
      <w:r w:rsidRPr="000D49BA">
        <w:rPr>
          <w:u w:val="single"/>
        </w:rPr>
        <w:t>notamment de départs en retraite</w:t>
      </w:r>
      <w:r w:rsidR="00B77B47" w:rsidRPr="000D49BA">
        <w:rPr>
          <w:u w:val="single"/>
        </w:rPr>
        <w:t xml:space="preserve"> qui devront avoir fait l’objet d’échanges avec le bureau sectoriel concerné de la direction du budget</w:t>
      </w:r>
      <w:r w:rsidRPr="00A60B25">
        <w:t xml:space="preserve">. </w:t>
      </w:r>
      <w:r w:rsidR="002D69D1" w:rsidRPr="00A60B25">
        <w:t>Des explications précises et détaillées devront être fournies concernant l</w:t>
      </w:r>
      <w:r w:rsidR="00D267A6" w:rsidRPr="00A60B25">
        <w:t xml:space="preserve">a méthodologie retenue pour l’établissement des prévisions de départs. </w:t>
      </w:r>
      <w:r w:rsidRPr="00A60B25">
        <w:t xml:space="preserve">Seront par ailleurs indiquées les dates moyennes </w:t>
      </w:r>
      <w:r w:rsidR="00D03283" w:rsidRPr="000D49BA">
        <w:rPr>
          <w:u w:val="single"/>
        </w:rPr>
        <w:t>réelles</w:t>
      </w:r>
      <w:r w:rsidR="00D03283" w:rsidRPr="00A60B25">
        <w:t xml:space="preserve"> </w:t>
      </w:r>
      <w:r w:rsidRPr="00A60B25">
        <w:t>d’arrivée et de départ</w:t>
      </w:r>
      <w:r w:rsidR="00D03283" w:rsidRPr="00A60B25">
        <w:t xml:space="preserve"> au cours de l’année </w:t>
      </w:r>
      <w:r w:rsidR="0045218B">
        <w:t>2021</w:t>
      </w:r>
      <w:r w:rsidR="0045218B" w:rsidRPr="00A60B25">
        <w:t xml:space="preserve"> </w:t>
      </w:r>
      <w:r w:rsidR="00D03283" w:rsidRPr="00A60B25">
        <w:t>par catégorie d’emplois</w:t>
      </w:r>
      <w:r w:rsidRPr="00A60B25">
        <w:t xml:space="preserve">. Ce tableau permettra par ailleurs de déterminer </w:t>
      </w:r>
      <w:r w:rsidR="00732DEF" w:rsidRPr="00A60B25">
        <w:t xml:space="preserve">le niveau de réalisation du schéma d’emplois en exécution </w:t>
      </w:r>
      <w:r w:rsidR="00252086">
        <w:t xml:space="preserve">2021 </w:t>
      </w:r>
      <w:r w:rsidR="0058661A">
        <w:t xml:space="preserve">et en </w:t>
      </w:r>
      <w:r w:rsidR="00221E5D" w:rsidRPr="00A60B25">
        <w:t xml:space="preserve">prévision d’exécution </w:t>
      </w:r>
      <w:r w:rsidR="00252086">
        <w:t>2022</w:t>
      </w:r>
      <w:r w:rsidR="00252086" w:rsidRPr="00A60B25">
        <w:t xml:space="preserve"> </w:t>
      </w:r>
      <w:r w:rsidR="00732DEF" w:rsidRPr="00A60B25">
        <w:t xml:space="preserve">par rapport à celui prévu </w:t>
      </w:r>
      <w:r w:rsidR="00152422" w:rsidRPr="00A60B25">
        <w:t>en loi de finances initiale ; les écarts éventuels seront détaillés et expliqués.</w:t>
      </w:r>
      <w:r w:rsidR="008703EC" w:rsidRPr="00A60B25">
        <w:t xml:space="preserve"> </w:t>
      </w:r>
      <w:r w:rsidR="00E94015">
        <w:rPr>
          <w:b/>
          <w:i/>
        </w:rPr>
        <w:t xml:space="preserve">(Tableau </w:t>
      </w:r>
      <w:r w:rsidR="00252086">
        <w:rPr>
          <w:b/>
          <w:i/>
        </w:rPr>
        <w:t>8</w:t>
      </w:r>
      <w:r w:rsidR="00E94015">
        <w:rPr>
          <w:b/>
          <w:i/>
        </w:rPr>
        <w:t>)</w:t>
      </w:r>
    </w:p>
    <w:p w14:paraId="2D7E1A71" w14:textId="77777777" w:rsidR="008333A7" w:rsidRDefault="008333A7" w:rsidP="009E60EE">
      <w:pPr>
        <w:jc w:val="both"/>
      </w:pPr>
    </w:p>
    <w:p w14:paraId="3781AD0E" w14:textId="5B3F5DED" w:rsidR="00450890" w:rsidRDefault="008333A7" w:rsidP="00FE353A">
      <w:pPr>
        <w:jc w:val="both"/>
        <w:rPr>
          <w:b/>
          <w:i/>
        </w:rPr>
      </w:pPr>
      <w:r w:rsidRPr="00A60B25">
        <w:t xml:space="preserve">Toute création, suppression, modification de libellé ou de contenu des </w:t>
      </w:r>
      <w:r w:rsidRPr="00A60B25">
        <w:rPr>
          <w:u w:val="single"/>
        </w:rPr>
        <w:t>catégories d'emplois</w:t>
      </w:r>
      <w:r w:rsidRPr="00A60B25">
        <w:t xml:space="preserve"> qui serait envisagée pour </w:t>
      </w:r>
      <w:r w:rsidR="00445A41">
        <w:t>2023</w:t>
      </w:r>
      <w:r w:rsidR="00445A41" w:rsidRPr="00A60B25">
        <w:t xml:space="preserve"> </w:t>
      </w:r>
      <w:r w:rsidRPr="00A60B25">
        <w:t xml:space="preserve">devra être portée à la connaissance des bureaux de la direction du </w:t>
      </w:r>
      <w:r>
        <w:t>b</w:t>
      </w:r>
      <w:r w:rsidRPr="00A60B25">
        <w:t xml:space="preserve">udget à l’occasion des conférences techniques. </w:t>
      </w:r>
    </w:p>
    <w:p w14:paraId="1E991BC4" w14:textId="68F24A97" w:rsidR="00C36B20" w:rsidRPr="00496A4E" w:rsidRDefault="00C36B20" w:rsidP="00496A4E">
      <w:pPr>
        <w:numPr>
          <w:ilvl w:val="0"/>
          <w:numId w:val="2"/>
        </w:numPr>
        <w:spacing w:before="240" w:after="240"/>
        <w:ind w:left="1077"/>
        <w:jc w:val="both"/>
      </w:pPr>
      <w:r>
        <w:rPr>
          <w:b/>
          <w:bCs/>
          <w:u w:val="single"/>
        </w:rPr>
        <w:t>Suivi de la transformation de l’Organisation Territoriale de l’Etat</w:t>
      </w:r>
      <w:r w:rsidR="00C66A9B">
        <w:rPr>
          <w:b/>
          <w:bCs/>
          <w:u w:val="single"/>
        </w:rPr>
        <w:t xml:space="preserve"> (OTE)</w:t>
      </w:r>
    </w:p>
    <w:p w14:paraId="5387DF94" w14:textId="3EFAEB2B" w:rsidR="00C36B20" w:rsidRDefault="00C36B20" w:rsidP="00FE353A">
      <w:pPr>
        <w:jc w:val="both"/>
      </w:pPr>
      <w:r>
        <w:t>La</w:t>
      </w:r>
      <w:r w:rsidRPr="00C36B20">
        <w:t xml:space="preserve"> circulaire signée par le Premier ministre en date du 24 juillet 2018 sur l’organisation territoriale des services publics </w:t>
      </w:r>
      <w:r w:rsidR="002E583C">
        <w:t xml:space="preserve">a </w:t>
      </w:r>
      <w:r w:rsidRPr="00C36B20">
        <w:t>fix</w:t>
      </w:r>
      <w:r w:rsidR="002E583C">
        <w:t>é</w:t>
      </w:r>
      <w:r w:rsidRPr="00C36B20">
        <w:t xml:space="preserve"> le cadre </w:t>
      </w:r>
      <w:r w:rsidR="006B5AA7">
        <w:t>de la transformation</w:t>
      </w:r>
      <w:r w:rsidRPr="00C36B20">
        <w:t xml:space="preserve"> de l’organisation des services déconcentrés de l’Etat </w:t>
      </w:r>
      <w:r w:rsidR="002E583C">
        <w:t xml:space="preserve">sur la période 2019 </w:t>
      </w:r>
      <w:r w:rsidR="00E94015">
        <w:t>–</w:t>
      </w:r>
      <w:r w:rsidR="002E583C">
        <w:t xml:space="preserve"> 2022</w:t>
      </w:r>
    </w:p>
    <w:p w14:paraId="259D2213" w14:textId="77777777" w:rsidR="00960A3C" w:rsidRDefault="00960A3C" w:rsidP="00FE353A">
      <w:pPr>
        <w:jc w:val="both"/>
      </w:pPr>
    </w:p>
    <w:p w14:paraId="68FDE3D4" w14:textId="77777777" w:rsidR="0045218B" w:rsidRDefault="00C36B20" w:rsidP="00FE353A">
      <w:pPr>
        <w:jc w:val="both"/>
      </w:pPr>
      <w:r>
        <w:t xml:space="preserve">Elle trace en particulier les pistes d’évolution du périmètre de </w:t>
      </w:r>
      <w:r w:rsidR="006B5AA7">
        <w:t xml:space="preserve">l’action de </w:t>
      </w:r>
      <w:r>
        <w:t>l’Etat avec d’une part des missions pour lesque</w:t>
      </w:r>
    </w:p>
    <w:p w14:paraId="2F7EACA1" w14:textId="6F1A3DCA" w:rsidR="00C36B20" w:rsidRDefault="00C36B20" w:rsidP="00FE353A">
      <w:pPr>
        <w:jc w:val="both"/>
      </w:pPr>
      <w:r>
        <w:t>lles le rôle de l’</w:t>
      </w:r>
      <w:r w:rsidR="00C66A9B">
        <w:t>Etat est réaffirmé</w:t>
      </w:r>
      <w:r>
        <w:t xml:space="preserve"> et d’autre part des missions qui seront allégées ou sorties du giron de l’Etat. Elle prévoit par ailleurs des </w:t>
      </w:r>
      <w:r w:rsidRPr="00C36B20">
        <w:t>évolution</w:t>
      </w:r>
      <w:r>
        <w:t>s</w:t>
      </w:r>
      <w:r w:rsidRPr="00C36B20">
        <w:t xml:space="preserve"> de l’organisation et de fonctionnement des services de l’Etat</w:t>
      </w:r>
      <w:r>
        <w:t xml:space="preserve"> qui pourront notamment se traduire par des mutualisations.</w:t>
      </w:r>
    </w:p>
    <w:p w14:paraId="0CADF921" w14:textId="77777777" w:rsidR="00C36B20" w:rsidRDefault="00C36B20" w:rsidP="00FE353A">
      <w:pPr>
        <w:jc w:val="both"/>
      </w:pPr>
    </w:p>
    <w:p w14:paraId="3C63231E" w14:textId="2B6BF801" w:rsidR="00C66A9B" w:rsidRDefault="00C36B20" w:rsidP="00FE353A">
      <w:pPr>
        <w:jc w:val="both"/>
        <w:rPr>
          <w:b/>
          <w:i/>
        </w:rPr>
      </w:pPr>
      <w:r>
        <w:t>Afin d</w:t>
      </w:r>
      <w:r w:rsidR="0045218B">
        <w:t>’assurer le suivi</w:t>
      </w:r>
      <w:r>
        <w:t>des conséquences prévisionnelles de la mise en œuvre de ces orientations</w:t>
      </w:r>
      <w:r w:rsidR="00C66A9B">
        <w:t xml:space="preserve"> sur la réalisation des schémas d’emplois des ministères, le tableau demandé recense au niveau de chaque </w:t>
      </w:r>
      <w:r w:rsidR="00C66A9B">
        <w:lastRenderedPageBreak/>
        <w:t xml:space="preserve">programme, la répartition prévisionnelle </w:t>
      </w:r>
      <w:r w:rsidR="0045218B">
        <w:t xml:space="preserve">par services (administration centrale, services départementaux, services régionaux, opérateurs, services à l’étranger, autres services) </w:t>
      </w:r>
      <w:r w:rsidR="00C66A9B">
        <w:t>de réalisation du schéma d’emploi</w:t>
      </w:r>
      <w:r w:rsidR="006B5AA7">
        <w:t>s</w:t>
      </w:r>
      <w:r w:rsidR="00C66A9B">
        <w:t xml:space="preserve"> pour </w:t>
      </w:r>
      <w:r w:rsidR="0045218B">
        <w:t>2022.</w:t>
      </w:r>
      <w:r w:rsidR="00C66A9B">
        <w:t xml:space="preserve"> </w:t>
      </w:r>
      <w:r w:rsidR="00C66A9B">
        <w:rPr>
          <w:b/>
          <w:i/>
        </w:rPr>
        <w:t xml:space="preserve">(Tableau </w:t>
      </w:r>
      <w:r w:rsidR="0045218B">
        <w:rPr>
          <w:b/>
          <w:i/>
        </w:rPr>
        <w:t>9</w:t>
      </w:r>
      <w:r w:rsidR="00C66A9B">
        <w:rPr>
          <w:b/>
          <w:i/>
        </w:rPr>
        <w:t>)</w:t>
      </w:r>
    </w:p>
    <w:p w14:paraId="3CDFE410" w14:textId="77777777" w:rsidR="00C66A9B" w:rsidRDefault="00C66A9B" w:rsidP="00FE353A">
      <w:pPr>
        <w:jc w:val="both"/>
        <w:rPr>
          <w:b/>
          <w:i/>
        </w:rPr>
      </w:pPr>
    </w:p>
    <w:p w14:paraId="093B22A3" w14:textId="5718D7D2" w:rsidR="00C36B20" w:rsidRDefault="00C66A9B" w:rsidP="00FE353A">
      <w:pPr>
        <w:jc w:val="both"/>
      </w:pPr>
      <w:r>
        <w:t xml:space="preserve">S’agissant des services déconcentrés, il est demandé de préciser en commentaire la ventilation du schéma d’emplois entre les </w:t>
      </w:r>
      <w:r w:rsidR="000E36E0">
        <w:t>rubriques</w:t>
      </w:r>
      <w:r>
        <w:t xml:space="preserve"> suivantes :</w:t>
      </w:r>
    </w:p>
    <w:p w14:paraId="1E73D0ED" w14:textId="7ADDB8DD" w:rsidR="00C66A9B" w:rsidRDefault="00C66A9B" w:rsidP="00496A4E">
      <w:pPr>
        <w:pStyle w:val="Paragraphedeliste"/>
        <w:numPr>
          <w:ilvl w:val="1"/>
          <w:numId w:val="3"/>
        </w:numPr>
        <w:jc w:val="both"/>
      </w:pPr>
      <w:r>
        <w:t>Allègement des missions YY (-XX ETP)</w:t>
      </w:r>
    </w:p>
    <w:p w14:paraId="157B2E55" w14:textId="2709E807" w:rsidR="00C66A9B" w:rsidRDefault="00C66A9B" w:rsidP="00496A4E">
      <w:pPr>
        <w:pStyle w:val="Paragraphedeliste"/>
        <w:numPr>
          <w:ilvl w:val="1"/>
          <w:numId w:val="3"/>
        </w:numPr>
        <w:jc w:val="both"/>
      </w:pPr>
      <w:r>
        <w:t>Renforcement des missions YY (+XX ETP)</w:t>
      </w:r>
    </w:p>
    <w:p w14:paraId="3273E088" w14:textId="2DDFC7A3" w:rsidR="00224FF1" w:rsidRDefault="00C66A9B">
      <w:pPr>
        <w:pStyle w:val="Paragraphedeliste"/>
        <w:numPr>
          <w:ilvl w:val="1"/>
          <w:numId w:val="3"/>
        </w:numPr>
        <w:jc w:val="both"/>
      </w:pPr>
      <w:r>
        <w:t>Evolution de l’organisation des services YY (+</w:t>
      </w:r>
      <w:r w:rsidR="00C97AE0">
        <w:t>/</w:t>
      </w:r>
      <w:r>
        <w:t>-XX ETP)</w:t>
      </w:r>
    </w:p>
    <w:p w14:paraId="7E0223BE" w14:textId="77777777" w:rsidR="009B607C" w:rsidRDefault="00C66A9B" w:rsidP="00A70440">
      <w:pPr>
        <w:pStyle w:val="Paragraphedeliste"/>
        <w:numPr>
          <w:ilvl w:val="1"/>
          <w:numId w:val="3"/>
        </w:numPr>
        <w:jc w:val="both"/>
      </w:pPr>
      <w:r>
        <w:t>Hors réforme OTE (+</w:t>
      </w:r>
      <w:r w:rsidR="00C97AE0">
        <w:t>/</w:t>
      </w:r>
      <w:r>
        <w:t>-XX ETP)</w:t>
      </w:r>
    </w:p>
    <w:p w14:paraId="401FC426" w14:textId="77777777" w:rsidR="009B607C" w:rsidRDefault="009B607C" w:rsidP="009B607C">
      <w:pPr>
        <w:jc w:val="both"/>
      </w:pPr>
    </w:p>
    <w:p w14:paraId="0F364F55" w14:textId="77777777" w:rsidR="009B607C" w:rsidRPr="00A70440" w:rsidRDefault="009B607C" w:rsidP="00A70440">
      <w:pPr>
        <w:numPr>
          <w:ilvl w:val="0"/>
          <w:numId w:val="2"/>
        </w:numPr>
        <w:spacing w:before="240" w:after="240"/>
        <w:ind w:left="1077"/>
        <w:jc w:val="both"/>
        <w:rPr>
          <w:b/>
          <w:bCs/>
          <w:u w:val="single"/>
        </w:rPr>
      </w:pPr>
      <w:r w:rsidRPr="00A70440">
        <w:rPr>
          <w:b/>
          <w:bCs/>
          <w:u w:val="single"/>
        </w:rPr>
        <w:t>Répartition des emplois au sein de chaque programme</w:t>
      </w:r>
    </w:p>
    <w:p w14:paraId="1DB4AEF0" w14:textId="6E111E32" w:rsidR="009B607C" w:rsidRDefault="009B607C" w:rsidP="00A70440">
      <w:pPr>
        <w:spacing w:before="240" w:after="240"/>
        <w:jc w:val="both"/>
      </w:pPr>
      <w:r>
        <w:t>Pour compléter l’information du parlement sur les priorités en matière d’emploi au sein de chaque programme</w:t>
      </w:r>
      <w:r w:rsidR="00AC1063">
        <w:t>,</w:t>
      </w:r>
      <w:r>
        <w:t xml:space="preserve"> les plafonds seront déclinés en exécution 2021et en prévision 2022 par grandes directions ou mission</w:t>
      </w:r>
      <w:r w:rsidR="00AC1063">
        <w:t>s</w:t>
      </w:r>
      <w:r>
        <w:t>. L</w:t>
      </w:r>
      <w:r w:rsidR="00AC1063">
        <w:t>es ministères retiendront une répartition opérationnelle conforme aux à la répartition utilisée dans le cadre de leurs dialogues de gestion. Les catégories retenues devront être documentées et correspondre pour chaque programme à l’organisation du ministère (directions générales, directions, grands services territoriaux)</w:t>
      </w:r>
      <w:r w:rsidR="004B72E1">
        <w:t xml:space="preserve"> (Tableau 10).</w:t>
      </w:r>
    </w:p>
    <w:p w14:paraId="479C542C" w14:textId="78396D9C" w:rsidR="009B607C" w:rsidRDefault="009B607C" w:rsidP="00A70440">
      <w:pPr>
        <w:spacing w:before="240" w:after="240"/>
        <w:jc w:val="both"/>
      </w:pPr>
    </w:p>
    <w:p w14:paraId="37A7EB74" w14:textId="77777777" w:rsidR="009B607C" w:rsidRDefault="009B607C" w:rsidP="009B607C">
      <w:pPr>
        <w:jc w:val="both"/>
      </w:pPr>
    </w:p>
    <w:p w14:paraId="43D9BDC2" w14:textId="472A700A" w:rsidR="009B607C" w:rsidRPr="00A70440" w:rsidRDefault="009B607C" w:rsidP="00A70440">
      <w:pPr>
        <w:jc w:val="both"/>
        <w:rPr>
          <w:b/>
          <w:i/>
        </w:rPr>
      </w:pPr>
      <w:r w:rsidRPr="009B607C">
        <w:rPr>
          <w:b/>
          <w:i/>
        </w:rPr>
        <w:t xml:space="preserve"> </w:t>
      </w:r>
    </w:p>
    <w:sectPr w:rsidR="009B607C" w:rsidRPr="00A70440" w:rsidSect="00577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14974" w14:textId="77777777" w:rsidR="004027FE" w:rsidRDefault="004027FE">
      <w:r>
        <w:separator/>
      </w:r>
    </w:p>
  </w:endnote>
  <w:endnote w:type="continuationSeparator" w:id="0">
    <w:p w14:paraId="409AA00F" w14:textId="77777777" w:rsidR="004027FE" w:rsidRDefault="004027FE">
      <w:r>
        <w:continuationSeparator/>
      </w:r>
    </w:p>
  </w:endnote>
  <w:endnote w:type="continuationNotice" w:id="1">
    <w:p w14:paraId="70DFA5E3" w14:textId="77777777" w:rsidR="004027FE" w:rsidRDefault="004027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43A73" w14:textId="77777777" w:rsidR="009E60EE" w:rsidRDefault="009E60E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355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2028779578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329219B3" w14:textId="5E09B8F1" w:rsidR="009E60EE" w:rsidRPr="00E10E92" w:rsidRDefault="009E60EE" w:rsidP="00E10E92">
            <w:pPr>
              <w:pStyle w:val="Pieddepage"/>
              <w:jc w:val="right"/>
              <w:rPr>
                <w:sz w:val="20"/>
                <w:szCs w:val="20"/>
              </w:rPr>
            </w:pPr>
            <w:r w:rsidRPr="00E10E92">
              <w:rPr>
                <w:b/>
                <w:bCs/>
                <w:sz w:val="20"/>
                <w:szCs w:val="20"/>
              </w:rPr>
              <w:fldChar w:fldCharType="begin"/>
            </w:r>
            <w:r w:rsidRPr="00E10E92">
              <w:rPr>
                <w:b/>
                <w:bCs/>
                <w:sz w:val="20"/>
                <w:szCs w:val="20"/>
              </w:rPr>
              <w:instrText>PAGE</w:instrText>
            </w:r>
            <w:r w:rsidRPr="00E10E92">
              <w:rPr>
                <w:b/>
                <w:bCs/>
                <w:sz w:val="20"/>
                <w:szCs w:val="20"/>
              </w:rPr>
              <w:fldChar w:fldCharType="separate"/>
            </w:r>
            <w:r w:rsidR="00A70440">
              <w:rPr>
                <w:b/>
                <w:bCs/>
                <w:noProof/>
                <w:sz w:val="20"/>
                <w:szCs w:val="20"/>
              </w:rPr>
              <w:t>1</w:t>
            </w:r>
            <w:r w:rsidRPr="00E10E92">
              <w:rPr>
                <w:b/>
                <w:bCs/>
                <w:sz w:val="20"/>
                <w:szCs w:val="20"/>
              </w:rPr>
              <w:fldChar w:fldCharType="end"/>
            </w:r>
            <w:r w:rsidR="00E10E92" w:rsidRPr="00E10E92">
              <w:rPr>
                <w:b/>
                <w:bCs/>
                <w:sz w:val="20"/>
                <w:szCs w:val="20"/>
              </w:rPr>
              <w:t xml:space="preserve"> /</w:t>
            </w:r>
            <w:r w:rsidRPr="00E10E92">
              <w:rPr>
                <w:sz w:val="20"/>
                <w:szCs w:val="20"/>
              </w:rPr>
              <w:t xml:space="preserve"> </w:t>
            </w:r>
            <w:r w:rsidRPr="00E10E92">
              <w:rPr>
                <w:b/>
                <w:bCs/>
                <w:sz w:val="20"/>
                <w:szCs w:val="20"/>
              </w:rPr>
              <w:fldChar w:fldCharType="begin"/>
            </w:r>
            <w:r w:rsidRPr="00E10E92">
              <w:rPr>
                <w:b/>
                <w:bCs/>
                <w:sz w:val="20"/>
                <w:szCs w:val="20"/>
              </w:rPr>
              <w:instrText>NUMPAGES</w:instrText>
            </w:r>
            <w:r w:rsidRPr="00E10E92">
              <w:rPr>
                <w:b/>
                <w:bCs/>
                <w:sz w:val="20"/>
                <w:szCs w:val="20"/>
              </w:rPr>
              <w:fldChar w:fldCharType="separate"/>
            </w:r>
            <w:r w:rsidR="00A70440">
              <w:rPr>
                <w:b/>
                <w:bCs/>
                <w:noProof/>
                <w:sz w:val="20"/>
                <w:szCs w:val="20"/>
              </w:rPr>
              <w:t>4</w:t>
            </w:r>
            <w:r w:rsidRPr="00E10E9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F8C7566" w14:textId="77777777" w:rsidR="00D812A9" w:rsidRDefault="00D812A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1BECB" w14:textId="77777777" w:rsidR="009E60EE" w:rsidRDefault="009E60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C94D2" w14:textId="77777777" w:rsidR="004027FE" w:rsidRDefault="004027FE">
      <w:r>
        <w:separator/>
      </w:r>
    </w:p>
  </w:footnote>
  <w:footnote w:type="continuationSeparator" w:id="0">
    <w:p w14:paraId="107C0C75" w14:textId="77777777" w:rsidR="004027FE" w:rsidRDefault="004027FE">
      <w:r>
        <w:continuationSeparator/>
      </w:r>
    </w:p>
  </w:footnote>
  <w:footnote w:type="continuationNotice" w:id="1">
    <w:p w14:paraId="6BAFEFAC" w14:textId="77777777" w:rsidR="004027FE" w:rsidRDefault="004027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BEB25" w14:textId="77777777" w:rsidR="009E60EE" w:rsidRDefault="009E60E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F69FB" w14:textId="3ABE551D" w:rsidR="00295BC6" w:rsidRDefault="00295BC6">
    <w:pPr>
      <w:pStyle w:val="En-tte"/>
      <w:jc w:val="right"/>
    </w:pPr>
  </w:p>
  <w:p w14:paraId="2E61CEB7" w14:textId="77777777" w:rsidR="0086726B" w:rsidRDefault="0086726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88C02" w14:textId="77777777" w:rsidR="009E60EE" w:rsidRDefault="009E60E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F37FF"/>
    <w:multiLevelType w:val="hybridMultilevel"/>
    <w:tmpl w:val="7156655A"/>
    <w:lvl w:ilvl="0" w:tplc="7B32965E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5586AE5"/>
    <w:multiLevelType w:val="hybridMultilevel"/>
    <w:tmpl w:val="845E875A"/>
    <w:lvl w:ilvl="0" w:tplc="3DDEE5C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29862A62"/>
    <w:multiLevelType w:val="hybridMultilevel"/>
    <w:tmpl w:val="D2FCA948"/>
    <w:lvl w:ilvl="0" w:tplc="040C0015">
      <w:start w:val="1"/>
      <w:numFmt w:val="upp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F73E37"/>
    <w:multiLevelType w:val="hybridMultilevel"/>
    <w:tmpl w:val="2DCE982E"/>
    <w:lvl w:ilvl="0" w:tplc="0F7690D6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9A67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71169E"/>
    <w:multiLevelType w:val="hybridMultilevel"/>
    <w:tmpl w:val="C0EA6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20CCC"/>
    <w:multiLevelType w:val="hybridMultilevel"/>
    <w:tmpl w:val="1B8AC23C"/>
    <w:lvl w:ilvl="0" w:tplc="EF2CF61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6A333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520D3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825C0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CF20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44A8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8285A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1874F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66827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2457406"/>
    <w:multiLevelType w:val="hybridMultilevel"/>
    <w:tmpl w:val="9A22B052"/>
    <w:lvl w:ilvl="0" w:tplc="55F067E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966369"/>
    <w:multiLevelType w:val="hybridMultilevel"/>
    <w:tmpl w:val="E52C4A98"/>
    <w:lvl w:ilvl="0" w:tplc="040C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5C8C3DE9"/>
    <w:multiLevelType w:val="hybridMultilevel"/>
    <w:tmpl w:val="CBA2A996"/>
    <w:lvl w:ilvl="0" w:tplc="55F067E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BD10EB"/>
    <w:multiLevelType w:val="hybridMultilevel"/>
    <w:tmpl w:val="30E2C536"/>
    <w:lvl w:ilvl="0" w:tplc="D69A67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20013"/>
    <w:multiLevelType w:val="hybridMultilevel"/>
    <w:tmpl w:val="01847836"/>
    <w:lvl w:ilvl="0" w:tplc="3D80D2C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3631B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5AF51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B0244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DE8A9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E224E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1045D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EA961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E899A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0DB5B2C"/>
    <w:multiLevelType w:val="hybridMultilevel"/>
    <w:tmpl w:val="5CEEB346"/>
    <w:lvl w:ilvl="0" w:tplc="FD0A14A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11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ED"/>
    <w:rsid w:val="00003DDF"/>
    <w:rsid w:val="00005271"/>
    <w:rsid w:val="00005440"/>
    <w:rsid w:val="00005C38"/>
    <w:rsid w:val="000120C6"/>
    <w:rsid w:val="00013A9D"/>
    <w:rsid w:val="000148B3"/>
    <w:rsid w:val="000163F2"/>
    <w:rsid w:val="00016D04"/>
    <w:rsid w:val="00022C76"/>
    <w:rsid w:val="000362FF"/>
    <w:rsid w:val="00037BF8"/>
    <w:rsid w:val="000537C9"/>
    <w:rsid w:val="00053CCF"/>
    <w:rsid w:val="00056AAB"/>
    <w:rsid w:val="00063A33"/>
    <w:rsid w:val="00065C2E"/>
    <w:rsid w:val="000769B5"/>
    <w:rsid w:val="0008251C"/>
    <w:rsid w:val="00083362"/>
    <w:rsid w:val="00086999"/>
    <w:rsid w:val="00094266"/>
    <w:rsid w:val="000A1505"/>
    <w:rsid w:val="000A6A44"/>
    <w:rsid w:val="000A79CD"/>
    <w:rsid w:val="000B10F0"/>
    <w:rsid w:val="000B371E"/>
    <w:rsid w:val="000B57C0"/>
    <w:rsid w:val="000C2A92"/>
    <w:rsid w:val="000D426E"/>
    <w:rsid w:val="000D49BA"/>
    <w:rsid w:val="000D4B16"/>
    <w:rsid w:val="000D6325"/>
    <w:rsid w:val="000E296A"/>
    <w:rsid w:val="000E36E0"/>
    <w:rsid w:val="000E4418"/>
    <w:rsid w:val="000E6EA1"/>
    <w:rsid w:val="000F5B20"/>
    <w:rsid w:val="0010032D"/>
    <w:rsid w:val="00102FE2"/>
    <w:rsid w:val="001062CA"/>
    <w:rsid w:val="00115A01"/>
    <w:rsid w:val="00126759"/>
    <w:rsid w:val="00126F32"/>
    <w:rsid w:val="00131B3E"/>
    <w:rsid w:val="00134EBF"/>
    <w:rsid w:val="001454A5"/>
    <w:rsid w:val="0014577C"/>
    <w:rsid w:val="00152422"/>
    <w:rsid w:val="00167599"/>
    <w:rsid w:val="001757D0"/>
    <w:rsid w:val="00175D61"/>
    <w:rsid w:val="0018173A"/>
    <w:rsid w:val="00186CED"/>
    <w:rsid w:val="001A4870"/>
    <w:rsid w:val="001A56A0"/>
    <w:rsid w:val="001A5880"/>
    <w:rsid w:val="001A657C"/>
    <w:rsid w:val="001A79F8"/>
    <w:rsid w:val="001B372D"/>
    <w:rsid w:val="001C1A88"/>
    <w:rsid w:val="001C20C1"/>
    <w:rsid w:val="001D2560"/>
    <w:rsid w:val="001D5E75"/>
    <w:rsid w:val="001E25FA"/>
    <w:rsid w:val="001F55E5"/>
    <w:rsid w:val="00202533"/>
    <w:rsid w:val="00203A20"/>
    <w:rsid w:val="00204B01"/>
    <w:rsid w:val="002179FB"/>
    <w:rsid w:val="0022138A"/>
    <w:rsid w:val="00221E5D"/>
    <w:rsid w:val="00222424"/>
    <w:rsid w:val="00224FF1"/>
    <w:rsid w:val="002347DF"/>
    <w:rsid w:val="00234F27"/>
    <w:rsid w:val="0023628B"/>
    <w:rsid w:val="00241533"/>
    <w:rsid w:val="00252086"/>
    <w:rsid w:val="00260AC0"/>
    <w:rsid w:val="00265942"/>
    <w:rsid w:val="00266CE3"/>
    <w:rsid w:val="00276E5E"/>
    <w:rsid w:val="0028085C"/>
    <w:rsid w:val="00283593"/>
    <w:rsid w:val="00284C3A"/>
    <w:rsid w:val="00285CB3"/>
    <w:rsid w:val="002901D1"/>
    <w:rsid w:val="00290DB6"/>
    <w:rsid w:val="00291309"/>
    <w:rsid w:val="0029211C"/>
    <w:rsid w:val="00295BC6"/>
    <w:rsid w:val="002A20CB"/>
    <w:rsid w:val="002A3E5D"/>
    <w:rsid w:val="002A557B"/>
    <w:rsid w:val="002B10D6"/>
    <w:rsid w:val="002B30AF"/>
    <w:rsid w:val="002B7600"/>
    <w:rsid w:val="002C1E6C"/>
    <w:rsid w:val="002C27E1"/>
    <w:rsid w:val="002C6F7D"/>
    <w:rsid w:val="002C70BE"/>
    <w:rsid w:val="002D208E"/>
    <w:rsid w:val="002D4631"/>
    <w:rsid w:val="002D4A5F"/>
    <w:rsid w:val="002D69D1"/>
    <w:rsid w:val="002E583C"/>
    <w:rsid w:val="002F04AC"/>
    <w:rsid w:val="002F1628"/>
    <w:rsid w:val="0030392D"/>
    <w:rsid w:val="00312A9A"/>
    <w:rsid w:val="00321DB7"/>
    <w:rsid w:val="003374F6"/>
    <w:rsid w:val="00343E52"/>
    <w:rsid w:val="00354489"/>
    <w:rsid w:val="003552BA"/>
    <w:rsid w:val="003611F6"/>
    <w:rsid w:val="00361A6B"/>
    <w:rsid w:val="00372C73"/>
    <w:rsid w:val="00376391"/>
    <w:rsid w:val="00380E1B"/>
    <w:rsid w:val="00394F8A"/>
    <w:rsid w:val="00396ABC"/>
    <w:rsid w:val="0039755B"/>
    <w:rsid w:val="003B040A"/>
    <w:rsid w:val="003B192B"/>
    <w:rsid w:val="003C0350"/>
    <w:rsid w:val="003C1B42"/>
    <w:rsid w:val="003C2161"/>
    <w:rsid w:val="003C58E0"/>
    <w:rsid w:val="003D425A"/>
    <w:rsid w:val="003E7CDA"/>
    <w:rsid w:val="003F0F7D"/>
    <w:rsid w:val="003F468E"/>
    <w:rsid w:val="004027FE"/>
    <w:rsid w:val="0041123B"/>
    <w:rsid w:val="004170A8"/>
    <w:rsid w:val="00434B7F"/>
    <w:rsid w:val="004414AC"/>
    <w:rsid w:val="00445A41"/>
    <w:rsid w:val="00446D4E"/>
    <w:rsid w:val="0045008D"/>
    <w:rsid w:val="004506E4"/>
    <w:rsid w:val="00450890"/>
    <w:rsid w:val="0045218B"/>
    <w:rsid w:val="00456441"/>
    <w:rsid w:val="00462486"/>
    <w:rsid w:val="004637FC"/>
    <w:rsid w:val="004665BA"/>
    <w:rsid w:val="00470355"/>
    <w:rsid w:val="004740DF"/>
    <w:rsid w:val="00476517"/>
    <w:rsid w:val="00480A24"/>
    <w:rsid w:val="00481361"/>
    <w:rsid w:val="00482C3C"/>
    <w:rsid w:val="00482D98"/>
    <w:rsid w:val="004830E7"/>
    <w:rsid w:val="0048544E"/>
    <w:rsid w:val="004911AA"/>
    <w:rsid w:val="00494419"/>
    <w:rsid w:val="00494B77"/>
    <w:rsid w:val="004959FB"/>
    <w:rsid w:val="00496A4E"/>
    <w:rsid w:val="00497598"/>
    <w:rsid w:val="00497612"/>
    <w:rsid w:val="004A2C0E"/>
    <w:rsid w:val="004B0F3D"/>
    <w:rsid w:val="004B72E1"/>
    <w:rsid w:val="004D2701"/>
    <w:rsid w:val="004D38BE"/>
    <w:rsid w:val="004D6EC3"/>
    <w:rsid w:val="004E09A1"/>
    <w:rsid w:val="004E118D"/>
    <w:rsid w:val="004E7D84"/>
    <w:rsid w:val="004F1D5B"/>
    <w:rsid w:val="004F75F2"/>
    <w:rsid w:val="00506251"/>
    <w:rsid w:val="00510BF6"/>
    <w:rsid w:val="00526678"/>
    <w:rsid w:val="00526D6F"/>
    <w:rsid w:val="00535F96"/>
    <w:rsid w:val="005378B3"/>
    <w:rsid w:val="005378E3"/>
    <w:rsid w:val="00540207"/>
    <w:rsid w:val="0054143A"/>
    <w:rsid w:val="00542486"/>
    <w:rsid w:val="00542558"/>
    <w:rsid w:val="00557362"/>
    <w:rsid w:val="00562207"/>
    <w:rsid w:val="00565D9B"/>
    <w:rsid w:val="00567F81"/>
    <w:rsid w:val="00577563"/>
    <w:rsid w:val="00584E33"/>
    <w:rsid w:val="0058586C"/>
    <w:rsid w:val="0058661A"/>
    <w:rsid w:val="00591F0E"/>
    <w:rsid w:val="00593BD7"/>
    <w:rsid w:val="005949DF"/>
    <w:rsid w:val="005A0496"/>
    <w:rsid w:val="005A2AF6"/>
    <w:rsid w:val="005A679A"/>
    <w:rsid w:val="005C0304"/>
    <w:rsid w:val="005C1169"/>
    <w:rsid w:val="005C2EF3"/>
    <w:rsid w:val="005C4F02"/>
    <w:rsid w:val="005C58F2"/>
    <w:rsid w:val="005D206D"/>
    <w:rsid w:val="005D3605"/>
    <w:rsid w:val="005E2175"/>
    <w:rsid w:val="005F1796"/>
    <w:rsid w:val="005F2B4A"/>
    <w:rsid w:val="005F45D6"/>
    <w:rsid w:val="005F4798"/>
    <w:rsid w:val="005F7357"/>
    <w:rsid w:val="006005DA"/>
    <w:rsid w:val="00601149"/>
    <w:rsid w:val="0060121D"/>
    <w:rsid w:val="00610138"/>
    <w:rsid w:val="00611BB4"/>
    <w:rsid w:val="0061398E"/>
    <w:rsid w:val="00617D6F"/>
    <w:rsid w:val="00623715"/>
    <w:rsid w:val="00623D83"/>
    <w:rsid w:val="006241B4"/>
    <w:rsid w:val="00637780"/>
    <w:rsid w:val="00641CA7"/>
    <w:rsid w:val="0064218E"/>
    <w:rsid w:val="006661B1"/>
    <w:rsid w:val="00680AE3"/>
    <w:rsid w:val="00682BA2"/>
    <w:rsid w:val="00690C32"/>
    <w:rsid w:val="00693A43"/>
    <w:rsid w:val="00695A9D"/>
    <w:rsid w:val="00695FB0"/>
    <w:rsid w:val="00697BC8"/>
    <w:rsid w:val="006A49CC"/>
    <w:rsid w:val="006A5893"/>
    <w:rsid w:val="006B5AA7"/>
    <w:rsid w:val="006C7C6E"/>
    <w:rsid w:val="006E1C2D"/>
    <w:rsid w:val="006F77ED"/>
    <w:rsid w:val="00704BEC"/>
    <w:rsid w:val="00707D7E"/>
    <w:rsid w:val="00715EB1"/>
    <w:rsid w:val="00725836"/>
    <w:rsid w:val="00732DEF"/>
    <w:rsid w:val="0073427A"/>
    <w:rsid w:val="007565AC"/>
    <w:rsid w:val="007733EB"/>
    <w:rsid w:val="00786A1C"/>
    <w:rsid w:val="00787361"/>
    <w:rsid w:val="00793CD7"/>
    <w:rsid w:val="007968EF"/>
    <w:rsid w:val="007A49CC"/>
    <w:rsid w:val="007A71C2"/>
    <w:rsid w:val="007B0705"/>
    <w:rsid w:val="007B071B"/>
    <w:rsid w:val="007C4047"/>
    <w:rsid w:val="007C4F70"/>
    <w:rsid w:val="007C6B3A"/>
    <w:rsid w:val="007D03B9"/>
    <w:rsid w:val="007D049E"/>
    <w:rsid w:val="007D0A44"/>
    <w:rsid w:val="007D0EC8"/>
    <w:rsid w:val="007D2335"/>
    <w:rsid w:val="007D75DB"/>
    <w:rsid w:val="007E2551"/>
    <w:rsid w:val="007E37BB"/>
    <w:rsid w:val="007F1E59"/>
    <w:rsid w:val="007F38C2"/>
    <w:rsid w:val="007F3B55"/>
    <w:rsid w:val="00812B2A"/>
    <w:rsid w:val="0081793D"/>
    <w:rsid w:val="00832BD1"/>
    <w:rsid w:val="008333A7"/>
    <w:rsid w:val="008352BA"/>
    <w:rsid w:val="00837050"/>
    <w:rsid w:val="008410F8"/>
    <w:rsid w:val="00844218"/>
    <w:rsid w:val="00845862"/>
    <w:rsid w:val="00850F66"/>
    <w:rsid w:val="0086726B"/>
    <w:rsid w:val="008703EC"/>
    <w:rsid w:val="00881DE8"/>
    <w:rsid w:val="00882022"/>
    <w:rsid w:val="00887428"/>
    <w:rsid w:val="008902E7"/>
    <w:rsid w:val="0089444A"/>
    <w:rsid w:val="0089735B"/>
    <w:rsid w:val="008A0A6F"/>
    <w:rsid w:val="008B3B22"/>
    <w:rsid w:val="008B46CF"/>
    <w:rsid w:val="008B6FD2"/>
    <w:rsid w:val="008B7FC9"/>
    <w:rsid w:val="008C04C4"/>
    <w:rsid w:val="008C5F6F"/>
    <w:rsid w:val="008C7E16"/>
    <w:rsid w:val="008D1EA1"/>
    <w:rsid w:val="008D2A47"/>
    <w:rsid w:val="008D372A"/>
    <w:rsid w:val="008F6786"/>
    <w:rsid w:val="0090057B"/>
    <w:rsid w:val="009208F1"/>
    <w:rsid w:val="0092501D"/>
    <w:rsid w:val="00930615"/>
    <w:rsid w:val="009350D6"/>
    <w:rsid w:val="00940307"/>
    <w:rsid w:val="00941807"/>
    <w:rsid w:val="009546BC"/>
    <w:rsid w:val="00960A3C"/>
    <w:rsid w:val="00972FF0"/>
    <w:rsid w:val="0098177A"/>
    <w:rsid w:val="009A6333"/>
    <w:rsid w:val="009A7497"/>
    <w:rsid w:val="009B607C"/>
    <w:rsid w:val="009C40E4"/>
    <w:rsid w:val="009C66BF"/>
    <w:rsid w:val="009D3C45"/>
    <w:rsid w:val="009E27B9"/>
    <w:rsid w:val="009E60EE"/>
    <w:rsid w:val="009E7418"/>
    <w:rsid w:val="00A01917"/>
    <w:rsid w:val="00A15488"/>
    <w:rsid w:val="00A31D9C"/>
    <w:rsid w:val="00A32FBF"/>
    <w:rsid w:val="00A3520D"/>
    <w:rsid w:val="00A376D9"/>
    <w:rsid w:val="00A4593F"/>
    <w:rsid w:val="00A45EF0"/>
    <w:rsid w:val="00A55B2E"/>
    <w:rsid w:val="00A60212"/>
    <w:rsid w:val="00A608EF"/>
    <w:rsid w:val="00A60B25"/>
    <w:rsid w:val="00A6537C"/>
    <w:rsid w:val="00A70440"/>
    <w:rsid w:val="00A71F1C"/>
    <w:rsid w:val="00A732AF"/>
    <w:rsid w:val="00A73389"/>
    <w:rsid w:val="00A824BA"/>
    <w:rsid w:val="00A85C4A"/>
    <w:rsid w:val="00A87E72"/>
    <w:rsid w:val="00A93188"/>
    <w:rsid w:val="00A963E2"/>
    <w:rsid w:val="00A97850"/>
    <w:rsid w:val="00AA472C"/>
    <w:rsid w:val="00AA49A4"/>
    <w:rsid w:val="00AA4FFD"/>
    <w:rsid w:val="00AB1B82"/>
    <w:rsid w:val="00AB2F44"/>
    <w:rsid w:val="00AC1063"/>
    <w:rsid w:val="00AC306A"/>
    <w:rsid w:val="00AC30DF"/>
    <w:rsid w:val="00AC39AD"/>
    <w:rsid w:val="00AC7D25"/>
    <w:rsid w:val="00AD37A7"/>
    <w:rsid w:val="00AD3E05"/>
    <w:rsid w:val="00AD4720"/>
    <w:rsid w:val="00AE3FFD"/>
    <w:rsid w:val="00AF2949"/>
    <w:rsid w:val="00AF5616"/>
    <w:rsid w:val="00AF5ABF"/>
    <w:rsid w:val="00B03731"/>
    <w:rsid w:val="00B03BEB"/>
    <w:rsid w:val="00B126D1"/>
    <w:rsid w:val="00B16D18"/>
    <w:rsid w:val="00B1738E"/>
    <w:rsid w:val="00B32B8A"/>
    <w:rsid w:val="00B32D2D"/>
    <w:rsid w:val="00B347C0"/>
    <w:rsid w:val="00B41598"/>
    <w:rsid w:val="00B455CC"/>
    <w:rsid w:val="00B46414"/>
    <w:rsid w:val="00B47160"/>
    <w:rsid w:val="00B51351"/>
    <w:rsid w:val="00B57946"/>
    <w:rsid w:val="00B6062D"/>
    <w:rsid w:val="00B6089E"/>
    <w:rsid w:val="00B63F9B"/>
    <w:rsid w:val="00B6449E"/>
    <w:rsid w:val="00B7167A"/>
    <w:rsid w:val="00B743C6"/>
    <w:rsid w:val="00B77B47"/>
    <w:rsid w:val="00B8389C"/>
    <w:rsid w:val="00B83DF7"/>
    <w:rsid w:val="00B87EC8"/>
    <w:rsid w:val="00B90FB7"/>
    <w:rsid w:val="00BA05F2"/>
    <w:rsid w:val="00BA24A7"/>
    <w:rsid w:val="00BB17A1"/>
    <w:rsid w:val="00BB69ED"/>
    <w:rsid w:val="00BC3DE8"/>
    <w:rsid w:val="00BC4D0A"/>
    <w:rsid w:val="00C04947"/>
    <w:rsid w:val="00C06181"/>
    <w:rsid w:val="00C11475"/>
    <w:rsid w:val="00C137A9"/>
    <w:rsid w:val="00C14F57"/>
    <w:rsid w:val="00C17679"/>
    <w:rsid w:val="00C20379"/>
    <w:rsid w:val="00C279F6"/>
    <w:rsid w:val="00C300FB"/>
    <w:rsid w:val="00C31E3F"/>
    <w:rsid w:val="00C36B20"/>
    <w:rsid w:val="00C41922"/>
    <w:rsid w:val="00C4360A"/>
    <w:rsid w:val="00C55EAC"/>
    <w:rsid w:val="00C5799B"/>
    <w:rsid w:val="00C57D57"/>
    <w:rsid w:val="00C65B19"/>
    <w:rsid w:val="00C66A9B"/>
    <w:rsid w:val="00C77AEB"/>
    <w:rsid w:val="00C77F6C"/>
    <w:rsid w:val="00C87EEC"/>
    <w:rsid w:val="00C95970"/>
    <w:rsid w:val="00C97AE0"/>
    <w:rsid w:val="00CA1107"/>
    <w:rsid w:val="00CB4B1F"/>
    <w:rsid w:val="00CC5632"/>
    <w:rsid w:val="00CD119B"/>
    <w:rsid w:val="00CD11C5"/>
    <w:rsid w:val="00CD372A"/>
    <w:rsid w:val="00CD3DAE"/>
    <w:rsid w:val="00CD66EA"/>
    <w:rsid w:val="00CE0CFF"/>
    <w:rsid w:val="00CE493F"/>
    <w:rsid w:val="00D03283"/>
    <w:rsid w:val="00D05F51"/>
    <w:rsid w:val="00D14A79"/>
    <w:rsid w:val="00D21954"/>
    <w:rsid w:val="00D267A6"/>
    <w:rsid w:val="00D35F4A"/>
    <w:rsid w:val="00D427A0"/>
    <w:rsid w:val="00D540D2"/>
    <w:rsid w:val="00D549C2"/>
    <w:rsid w:val="00D55245"/>
    <w:rsid w:val="00D55598"/>
    <w:rsid w:val="00D624B7"/>
    <w:rsid w:val="00D670DD"/>
    <w:rsid w:val="00D720B9"/>
    <w:rsid w:val="00D812A9"/>
    <w:rsid w:val="00D841FD"/>
    <w:rsid w:val="00D91E8A"/>
    <w:rsid w:val="00D96804"/>
    <w:rsid w:val="00D97147"/>
    <w:rsid w:val="00DB1C44"/>
    <w:rsid w:val="00DC0185"/>
    <w:rsid w:val="00DC5AE5"/>
    <w:rsid w:val="00DC6A9E"/>
    <w:rsid w:val="00DD1447"/>
    <w:rsid w:val="00DD1FE8"/>
    <w:rsid w:val="00DD6927"/>
    <w:rsid w:val="00DE2E59"/>
    <w:rsid w:val="00DE6131"/>
    <w:rsid w:val="00DE6720"/>
    <w:rsid w:val="00DF47A3"/>
    <w:rsid w:val="00DF4F69"/>
    <w:rsid w:val="00DF6774"/>
    <w:rsid w:val="00DF74E3"/>
    <w:rsid w:val="00DF76E2"/>
    <w:rsid w:val="00E01952"/>
    <w:rsid w:val="00E07713"/>
    <w:rsid w:val="00E100AF"/>
    <w:rsid w:val="00E10E92"/>
    <w:rsid w:val="00E11064"/>
    <w:rsid w:val="00E35699"/>
    <w:rsid w:val="00E4014E"/>
    <w:rsid w:val="00E40EFF"/>
    <w:rsid w:val="00E47AA1"/>
    <w:rsid w:val="00E51888"/>
    <w:rsid w:val="00E522F5"/>
    <w:rsid w:val="00E544E3"/>
    <w:rsid w:val="00E57696"/>
    <w:rsid w:val="00E80038"/>
    <w:rsid w:val="00E81065"/>
    <w:rsid w:val="00E81E37"/>
    <w:rsid w:val="00E94015"/>
    <w:rsid w:val="00EA2D08"/>
    <w:rsid w:val="00EB0FBA"/>
    <w:rsid w:val="00EB2A23"/>
    <w:rsid w:val="00EB5104"/>
    <w:rsid w:val="00EC0539"/>
    <w:rsid w:val="00EC41A9"/>
    <w:rsid w:val="00EC6195"/>
    <w:rsid w:val="00EC669F"/>
    <w:rsid w:val="00ED67C5"/>
    <w:rsid w:val="00EE32A1"/>
    <w:rsid w:val="00EE353D"/>
    <w:rsid w:val="00EE3690"/>
    <w:rsid w:val="00EE4DEC"/>
    <w:rsid w:val="00EE6650"/>
    <w:rsid w:val="00EF28C6"/>
    <w:rsid w:val="00EF70DC"/>
    <w:rsid w:val="00F17125"/>
    <w:rsid w:val="00F21F7B"/>
    <w:rsid w:val="00F26F87"/>
    <w:rsid w:val="00F50DC5"/>
    <w:rsid w:val="00F52A69"/>
    <w:rsid w:val="00F56C2F"/>
    <w:rsid w:val="00F57F73"/>
    <w:rsid w:val="00F63EF2"/>
    <w:rsid w:val="00F70999"/>
    <w:rsid w:val="00F74DEA"/>
    <w:rsid w:val="00F831F5"/>
    <w:rsid w:val="00F90214"/>
    <w:rsid w:val="00FA16D1"/>
    <w:rsid w:val="00FA216C"/>
    <w:rsid w:val="00FA38AB"/>
    <w:rsid w:val="00FC5510"/>
    <w:rsid w:val="00FD76D1"/>
    <w:rsid w:val="00FE2DDA"/>
    <w:rsid w:val="00FE353A"/>
    <w:rsid w:val="00FE5929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6B51844-AA2F-4BBA-9A72-26C736D8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31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justifi">
    <w:name w:val="Normal + justifié"/>
    <w:basedOn w:val="Normal"/>
    <w:rsid w:val="005A0496"/>
    <w:pPr>
      <w:keepLines/>
      <w:spacing w:before="120" w:after="120"/>
      <w:ind w:firstLine="1134"/>
      <w:jc w:val="both"/>
    </w:pPr>
  </w:style>
  <w:style w:type="paragraph" w:styleId="Textedebulles">
    <w:name w:val="Balloon Text"/>
    <w:basedOn w:val="Normal"/>
    <w:semiHidden/>
    <w:rsid w:val="00480A24"/>
    <w:rPr>
      <w:rFonts w:ascii="Tahoma" w:hAnsi="Tahoma" w:cs="Tahoma"/>
      <w:sz w:val="16"/>
      <w:szCs w:val="16"/>
    </w:rPr>
  </w:style>
  <w:style w:type="paragraph" w:customStyle="1" w:styleId="DBRetraitcorpsdetexte">
    <w:name w:val="DB Retrait corps de texte"/>
    <w:basedOn w:val="Normal"/>
    <w:rsid w:val="003F0F7D"/>
    <w:pPr>
      <w:keepLines/>
      <w:spacing w:before="120" w:after="120"/>
      <w:ind w:firstLine="1134"/>
      <w:jc w:val="both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rsid w:val="005C116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C116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link w:val="RetraitcorpsdetexteCar"/>
    <w:rsid w:val="00B57946"/>
    <w:pPr>
      <w:keepLines/>
      <w:spacing w:before="120"/>
      <w:ind w:firstLine="1134"/>
      <w:jc w:val="both"/>
    </w:pPr>
  </w:style>
  <w:style w:type="character" w:customStyle="1" w:styleId="RetraitcorpsdetexteCar">
    <w:name w:val="Retrait corps de texte Car"/>
    <w:link w:val="Retraitcorpsdetexte"/>
    <w:rsid w:val="00B57946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03283"/>
    <w:pPr>
      <w:ind w:left="708"/>
    </w:pPr>
  </w:style>
  <w:style w:type="character" w:styleId="Marquedecommentaire">
    <w:name w:val="annotation reference"/>
    <w:semiHidden/>
    <w:rsid w:val="00312A9A"/>
    <w:rPr>
      <w:sz w:val="16"/>
      <w:szCs w:val="16"/>
    </w:rPr>
  </w:style>
  <w:style w:type="paragraph" w:styleId="Commentaire">
    <w:name w:val="annotation text"/>
    <w:basedOn w:val="Normal"/>
    <w:semiHidden/>
    <w:rsid w:val="00312A9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12A9A"/>
    <w:rPr>
      <w:b/>
      <w:bCs/>
    </w:rPr>
  </w:style>
  <w:style w:type="paragraph" w:styleId="Notedebasdepage">
    <w:name w:val="footnote text"/>
    <w:basedOn w:val="Normal"/>
    <w:semiHidden/>
    <w:rsid w:val="00E47AA1"/>
    <w:rPr>
      <w:sz w:val="20"/>
      <w:szCs w:val="20"/>
    </w:rPr>
  </w:style>
  <w:style w:type="character" w:styleId="Appelnotedebasdep">
    <w:name w:val="footnote reference"/>
    <w:semiHidden/>
    <w:rsid w:val="00E47AA1"/>
    <w:rPr>
      <w:vertAlign w:val="superscript"/>
    </w:rPr>
  </w:style>
  <w:style w:type="paragraph" w:styleId="Rvision">
    <w:name w:val="Revision"/>
    <w:hidden/>
    <w:uiPriority w:val="99"/>
    <w:semiHidden/>
    <w:rsid w:val="007E37BB"/>
    <w:rPr>
      <w:sz w:val="24"/>
      <w:szCs w:val="24"/>
    </w:rPr>
  </w:style>
  <w:style w:type="character" w:styleId="Lienhypertexte">
    <w:name w:val="Hyperlink"/>
    <w:uiPriority w:val="99"/>
    <w:unhideWhenUsed/>
    <w:rsid w:val="00CE0CFF"/>
    <w:rPr>
      <w:strike w:val="0"/>
      <w:dstrike w:val="0"/>
      <w:color w:val="0088CC"/>
      <w:u w:val="none"/>
      <w:effect w:val="none"/>
    </w:rPr>
  </w:style>
  <w:style w:type="character" w:customStyle="1" w:styleId="date-display-single1">
    <w:name w:val="date-display-single1"/>
    <w:rsid w:val="00CE0CFF"/>
  </w:style>
  <w:style w:type="character" w:customStyle="1" w:styleId="field-content">
    <w:name w:val="field-content"/>
    <w:rsid w:val="00CE0CFF"/>
  </w:style>
  <w:style w:type="character" w:customStyle="1" w:styleId="En-tteCar">
    <w:name w:val="En-tête Car"/>
    <w:basedOn w:val="Policepardfaut"/>
    <w:link w:val="En-tte"/>
    <w:uiPriority w:val="99"/>
    <w:rsid w:val="00295BC6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812A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04"/>
    <w:pPr>
      <w:spacing w:before="100" w:beforeAutospacing="1" w:after="100" w:afterAutospacing="1"/>
      <w:ind w:left="75" w:right="225"/>
    </w:pPr>
    <w:rPr>
      <w:sz w:val="20"/>
      <w:szCs w:val="20"/>
    </w:rPr>
  </w:style>
  <w:style w:type="character" w:styleId="lev">
    <w:name w:val="Strong"/>
    <w:basedOn w:val="Policepardfaut"/>
    <w:uiPriority w:val="22"/>
    <w:qFormat/>
    <w:rsid w:val="00B32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2350">
          <w:marLeft w:val="2"/>
          <w:marRight w:val="2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4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://www.performance-publique.budget.gouv.fr/sites/performance_publique/files/files/circulaires/pieces_jointes/2015/2BPSS-15-4116/2BPSS-15-4116_outil_2BPSS_guide.pdf"/>
  <Relationship Id="rId9" Type="http://schemas.openxmlformats.org/officeDocument/2006/relationships/hyperlink" TargetMode="External" Target="https://www.performance-publique.budget.gouv.fr/sites/performance_publique/files/files/circulaires/circulaires/2019/2BPSS-19-4622/2BPSS-19-4622.pdf"/>
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6C623-9D54-45D9-BC6C-245EC00F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1641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REF-1264779258118-46</vt:lpstr>
    </vt:vector>
  </TitlesOfParts>
  <Company>MINEFI</Company>
  <LinksUpToDate>false</LinksUpToDate>
  <CharactersWithSpaces>11116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http://www.performance-publique.budget.gouv.fr/sites/performance_publique/files/files/circulaires/circulaires/2015/2BPSS-15-4116/2BPSS-15-4116.pdf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2022-01-06T13:03:00Z</dcterms:created>
  <dc:creator>Jérome BONHERBE</dc:creator>
  <lastModifiedBy>COURCET Sophie</lastModifiedBy>
  <lastPrinted>2018-01-12T10:12:00Z</lastPrinted>
  <dcterms:modified xsi:type="dcterms:W3CDTF">2022-01-11T16:54:00Z</dcterms:modified>
  <revision>8</revision>
  <dc:title>REF-1264779258118-46</dc:title>
</coreProperties>
</file>